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8F896" w14:textId="77777777" w:rsidR="00DD7ADF" w:rsidRPr="00565591" w:rsidRDefault="00DD7ADF">
      <w:pPr>
        <w:widowControl w:val="0"/>
        <w:pBdr>
          <w:top w:val="nil"/>
          <w:left w:val="nil"/>
          <w:bottom w:val="nil"/>
          <w:right w:val="nil"/>
          <w:between w:val="nil"/>
        </w:pBdr>
        <w:spacing w:line="276" w:lineRule="auto"/>
        <w:ind w:firstLine="0"/>
        <w:jc w:val="left"/>
        <w:rPr>
          <w:rFonts w:asciiTheme="minorHAnsi" w:hAnsiTheme="minorHAnsi"/>
          <w:color w:val="000000"/>
          <w:szCs w:val="22"/>
        </w:rPr>
      </w:pPr>
    </w:p>
    <w:tbl>
      <w:tblPr>
        <w:tblStyle w:val="a0"/>
        <w:tblW w:w="9095" w:type="dxa"/>
        <w:tblInd w:w="-53" w:type="dxa"/>
        <w:tblBorders>
          <w:top w:val="single" w:sz="24" w:space="0" w:color="0070C0"/>
          <w:left w:val="single" w:sz="24" w:space="0" w:color="0070C0"/>
          <w:bottom w:val="single" w:sz="24" w:space="0" w:color="0070C0"/>
          <w:right w:val="single" w:sz="24" w:space="0" w:color="0070C0"/>
          <w:insideH w:val="nil"/>
          <w:insideV w:val="nil"/>
        </w:tblBorders>
        <w:tblLayout w:type="fixed"/>
        <w:tblLook w:val="0400" w:firstRow="0" w:lastRow="0" w:firstColumn="0" w:lastColumn="0" w:noHBand="0" w:noVBand="1"/>
      </w:tblPr>
      <w:tblGrid>
        <w:gridCol w:w="1560"/>
        <w:gridCol w:w="6118"/>
        <w:gridCol w:w="1417"/>
      </w:tblGrid>
      <w:tr w:rsidR="00DD7ADF" w:rsidRPr="00565591" w14:paraId="6EA228F6" w14:textId="77777777" w:rsidTr="00A407E5">
        <w:tc>
          <w:tcPr>
            <w:tcW w:w="1560" w:type="dxa"/>
            <w:tcBorders>
              <w:right w:val="single" w:sz="24" w:space="0" w:color="0070C0"/>
            </w:tcBorders>
          </w:tcPr>
          <w:p w14:paraId="19756750" w14:textId="77777777" w:rsidR="00DD7ADF" w:rsidRPr="00565591" w:rsidRDefault="0091628F">
            <w:pPr>
              <w:ind w:firstLine="0"/>
              <w:jc w:val="center"/>
              <w:rPr>
                <w:rFonts w:asciiTheme="minorHAnsi" w:eastAsia="Cambria" w:hAnsiTheme="minorHAnsi" w:cs="Cambria"/>
                <w:sz w:val="20"/>
                <w:szCs w:val="20"/>
              </w:rPr>
            </w:pPr>
            <w:r>
              <w:rPr>
                <w:rFonts w:asciiTheme="minorHAnsi" w:hAnsiTheme="minorHAnsi"/>
                <w:noProof/>
                <w:lang w:val="es-MX" w:eastAsia="es-MX"/>
              </w:rPr>
              <w:drawing>
                <wp:inline distT="0" distB="0" distL="0" distR="0" wp14:anchorId="2CDCF795" wp14:editId="3412D03E">
                  <wp:extent cx="744382" cy="537609"/>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44382" cy="537609"/>
                          </a:xfrm>
                          <a:prstGeom prst="rect">
                            <a:avLst/>
                          </a:prstGeom>
                          <a:ln/>
                        </pic:spPr>
                      </pic:pic>
                    </a:graphicData>
                  </a:graphic>
                </wp:inline>
              </w:drawing>
            </w:r>
          </w:p>
        </w:tc>
        <w:tc>
          <w:tcPr>
            <w:tcW w:w="6118" w:type="dxa"/>
            <w:tcBorders>
              <w:right w:val="single" w:sz="24" w:space="0" w:color="0070C0"/>
            </w:tcBorders>
          </w:tcPr>
          <w:p w14:paraId="48093337" w14:textId="54ACB7E5" w:rsidR="00DD7ADF" w:rsidRPr="0065646C" w:rsidRDefault="00BD6798">
            <w:pPr>
              <w:ind w:firstLine="0"/>
              <w:jc w:val="center"/>
              <w:rPr>
                <w:rFonts w:asciiTheme="minorHAnsi" w:eastAsia="Cambria" w:hAnsiTheme="minorHAnsi" w:cs="Cambria"/>
                <w:b/>
                <w:sz w:val="24"/>
                <w:lang w:val="en-US"/>
              </w:rPr>
            </w:pPr>
            <w:r w:rsidRPr="0065646C">
              <w:rPr>
                <w:rFonts w:asciiTheme="minorHAnsi" w:hAnsiTheme="minorHAnsi"/>
                <w:b/>
                <w:sz w:val="24"/>
                <w:lang w:val="en-US"/>
              </w:rPr>
              <w:t>PROJECT, DESIGN, AND MANAGEMENT (PDM)</w:t>
            </w:r>
          </w:p>
          <w:p w14:paraId="23FEA5F1" w14:textId="3DE40ADC" w:rsidR="00DD7ADF" w:rsidRPr="0065646C" w:rsidRDefault="00BD6798">
            <w:pPr>
              <w:ind w:firstLine="0"/>
              <w:jc w:val="center"/>
              <w:rPr>
                <w:rFonts w:asciiTheme="minorHAnsi" w:eastAsia="Cambria" w:hAnsiTheme="minorHAnsi" w:cs="Cambria"/>
                <w:sz w:val="20"/>
                <w:szCs w:val="20"/>
                <w:lang w:val="en-US"/>
              </w:rPr>
            </w:pPr>
            <w:r w:rsidRPr="0065646C">
              <w:rPr>
                <w:rFonts w:asciiTheme="minorHAnsi" w:hAnsiTheme="minorHAnsi"/>
                <w:sz w:val="20"/>
                <w:lang w:val="en-US"/>
              </w:rPr>
              <w:t>https://www.mlsjournals.com/Project-Design-Management</w:t>
            </w:r>
          </w:p>
          <w:p w14:paraId="7B30C3AC" w14:textId="2124531D" w:rsidR="00DD7ADF" w:rsidRPr="00565591" w:rsidRDefault="0091628F">
            <w:pPr>
              <w:ind w:firstLine="0"/>
              <w:jc w:val="center"/>
              <w:rPr>
                <w:rFonts w:asciiTheme="minorHAnsi" w:eastAsia="Cambria" w:hAnsiTheme="minorHAnsi" w:cs="Cambria"/>
                <w:sz w:val="18"/>
                <w:szCs w:val="18"/>
              </w:rPr>
            </w:pPr>
            <w:r>
              <w:rPr>
                <w:rFonts w:asciiTheme="minorHAnsi" w:hAnsiTheme="minorHAnsi"/>
                <w:sz w:val="20"/>
              </w:rPr>
              <w:t>ISSN: 2683-1597</w:t>
            </w:r>
          </w:p>
        </w:tc>
        <w:tc>
          <w:tcPr>
            <w:tcW w:w="1417" w:type="dxa"/>
            <w:tcBorders>
              <w:top w:val="single" w:sz="24" w:space="0" w:color="0070C0"/>
              <w:left w:val="single" w:sz="24" w:space="0" w:color="0070C0"/>
              <w:bottom w:val="single" w:sz="24" w:space="0" w:color="0070C0"/>
            </w:tcBorders>
          </w:tcPr>
          <w:p w14:paraId="18CF955F" w14:textId="7C3042D6" w:rsidR="00DD7ADF" w:rsidRPr="00565591" w:rsidRDefault="00BD6798">
            <w:pPr>
              <w:ind w:firstLine="0"/>
              <w:jc w:val="center"/>
              <w:rPr>
                <w:rFonts w:asciiTheme="minorHAnsi" w:eastAsia="Cambria" w:hAnsiTheme="minorHAnsi" w:cs="Cambria"/>
                <w:b/>
                <w:sz w:val="24"/>
              </w:rPr>
            </w:pPr>
            <w:r>
              <w:rPr>
                <w:rFonts w:asciiTheme="minorHAnsi" w:hAnsiTheme="minorHAnsi"/>
                <w:b/>
                <w:noProof/>
                <w:sz w:val="24"/>
                <w:lang w:val="es-MX" w:eastAsia="es-MX"/>
              </w:rPr>
              <w:drawing>
                <wp:inline distT="0" distB="0" distL="0" distR="0" wp14:anchorId="6280F684" wp14:editId="037EB55B">
                  <wp:extent cx="719719" cy="439270"/>
                  <wp:effectExtent l="0" t="0" r="4445" b="5715"/>
                  <wp:docPr id="19297464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746409" name="Imagen 1929746409"/>
                          <pic:cNvPicPr/>
                        </pic:nvPicPr>
                        <pic:blipFill>
                          <a:blip r:embed="rId9">
                            <a:extLst>
                              <a:ext uri="{28A0092B-C50C-407E-A947-70E740481C1C}">
                                <a14:useLocalDpi xmlns:a14="http://schemas.microsoft.com/office/drawing/2010/main" val="0"/>
                              </a:ext>
                            </a:extLst>
                          </a:blip>
                          <a:stretch>
                            <a:fillRect/>
                          </a:stretch>
                        </pic:blipFill>
                        <pic:spPr>
                          <a:xfrm>
                            <a:off x="0" y="0"/>
                            <a:ext cx="738969" cy="451019"/>
                          </a:xfrm>
                          <a:prstGeom prst="rect">
                            <a:avLst/>
                          </a:prstGeom>
                        </pic:spPr>
                      </pic:pic>
                    </a:graphicData>
                  </a:graphic>
                </wp:inline>
              </w:drawing>
            </w:r>
          </w:p>
        </w:tc>
      </w:tr>
    </w:tbl>
    <w:p w14:paraId="5E0A6232" w14:textId="34E7124B" w:rsidR="00DD7ADF" w:rsidRPr="0065646C" w:rsidRDefault="0091628F" w:rsidP="006673A3">
      <w:pPr>
        <w:keepNext/>
        <w:pBdr>
          <w:top w:val="nil"/>
          <w:left w:val="nil"/>
          <w:bottom w:val="nil"/>
          <w:right w:val="nil"/>
          <w:between w:val="nil"/>
        </w:pBdr>
        <w:ind w:firstLine="0"/>
        <w:jc w:val="center"/>
        <w:rPr>
          <w:rFonts w:asciiTheme="minorHAnsi" w:eastAsia="Cambria" w:hAnsiTheme="minorHAnsi" w:cs="Cambria"/>
          <w:b/>
          <w:smallCaps/>
          <w:color w:val="0070C0"/>
          <w:sz w:val="16"/>
          <w:szCs w:val="16"/>
          <w:lang w:val="en-US"/>
        </w:rPr>
      </w:pPr>
      <w:r w:rsidRPr="0065646C">
        <w:rPr>
          <w:rFonts w:asciiTheme="minorHAnsi" w:hAnsiTheme="minorHAnsi"/>
          <w:b/>
          <w:i/>
          <w:color w:val="0070C0"/>
          <w:sz w:val="16"/>
          <w:lang w:val="en-US"/>
        </w:rPr>
        <w:t>(2024) Project, Design, and Management</w:t>
      </w:r>
      <w:r w:rsidRPr="0065646C">
        <w:rPr>
          <w:rFonts w:asciiTheme="minorHAnsi" w:hAnsiTheme="minorHAnsi"/>
          <w:b/>
          <w:color w:val="0070C0"/>
          <w:sz w:val="16"/>
          <w:lang w:val="en-US"/>
        </w:rPr>
        <w:t>, 6(1), 41-56. doi.org/10.35992/pdm.v6i1.2086.</w:t>
      </w:r>
    </w:p>
    <w:p w14:paraId="4F6609AE" w14:textId="77777777" w:rsidR="00DD7ADF" w:rsidRPr="0065646C" w:rsidRDefault="00DD7ADF">
      <w:pPr>
        <w:keepNext/>
        <w:pBdr>
          <w:top w:val="nil"/>
          <w:left w:val="nil"/>
          <w:bottom w:val="nil"/>
          <w:right w:val="nil"/>
          <w:between w:val="nil"/>
        </w:pBdr>
        <w:ind w:firstLine="0"/>
        <w:jc w:val="center"/>
        <w:rPr>
          <w:rFonts w:asciiTheme="minorHAnsi" w:eastAsia="Cambria" w:hAnsiTheme="minorHAnsi" w:cs="Cambria"/>
          <w:b/>
          <w:smallCaps/>
          <w:color w:val="000000"/>
          <w:sz w:val="28"/>
          <w:szCs w:val="28"/>
          <w:lang w:val="en-US"/>
        </w:rPr>
      </w:pPr>
    </w:p>
    <w:p w14:paraId="188E392C" w14:textId="29298B6F" w:rsidR="00DD7ADF" w:rsidRPr="00A407E5" w:rsidRDefault="009C7D4A">
      <w:pPr>
        <w:keepNext/>
        <w:pBdr>
          <w:top w:val="nil"/>
          <w:left w:val="nil"/>
          <w:bottom w:val="nil"/>
          <w:right w:val="nil"/>
          <w:between w:val="nil"/>
        </w:pBdr>
        <w:ind w:firstLine="0"/>
        <w:jc w:val="center"/>
        <w:rPr>
          <w:rFonts w:asciiTheme="minorHAnsi" w:eastAsia="Cambria" w:hAnsiTheme="minorHAnsi" w:cs="Cambria"/>
          <w:b/>
          <w:color w:val="000000"/>
          <w:sz w:val="28"/>
          <w:szCs w:val="28"/>
        </w:rPr>
      </w:pPr>
      <w:r>
        <w:rPr>
          <w:rFonts w:asciiTheme="minorHAnsi" w:hAnsiTheme="minorHAnsi"/>
          <w:b/>
          <w:color w:val="000000"/>
          <w:sz w:val="28"/>
        </w:rPr>
        <w:t>ACTITUDES Y PERCEPCIONES DE LA JUVENTUD RURAL HACIA LA AGROINDUSTRIA COMO PROFESIÓN E</w:t>
      </w:r>
      <w:r w:rsidR="0065646C">
        <w:rPr>
          <w:rFonts w:asciiTheme="minorHAnsi" w:hAnsiTheme="minorHAnsi"/>
          <w:b/>
          <w:color w:val="000000"/>
          <w:sz w:val="28"/>
        </w:rPr>
        <w:t xml:space="preserve">N UN CONTEXTO DE POSCONFLICTO. </w:t>
      </w:r>
      <w:r>
        <w:rPr>
          <w:rFonts w:asciiTheme="minorHAnsi" w:hAnsiTheme="minorHAnsi"/>
          <w:b/>
          <w:color w:val="000000"/>
          <w:sz w:val="28"/>
        </w:rPr>
        <w:t>CASO DE LA PROVINCIA DE KIVU DEL SUR EN LA REPÚBLICA DEMOCRÁTICA DEL CONGO</w:t>
      </w:r>
    </w:p>
    <w:p w14:paraId="2334021C" w14:textId="1B566C68" w:rsidR="006673A3" w:rsidRPr="0065646C" w:rsidRDefault="009C7D4A">
      <w:pPr>
        <w:keepNext/>
        <w:pBdr>
          <w:top w:val="nil"/>
          <w:left w:val="nil"/>
          <w:bottom w:val="nil"/>
          <w:right w:val="nil"/>
          <w:between w:val="nil"/>
        </w:pBdr>
        <w:ind w:firstLine="0"/>
        <w:jc w:val="center"/>
        <w:rPr>
          <w:rFonts w:asciiTheme="minorHAnsi" w:eastAsia="Cambria" w:hAnsiTheme="minorHAnsi" w:cs="Cambria"/>
          <w:b/>
          <w:smallCaps/>
          <w:color w:val="000000"/>
          <w:sz w:val="24"/>
          <w:lang w:val="en-US"/>
        </w:rPr>
      </w:pPr>
      <w:r w:rsidRPr="0065646C">
        <w:rPr>
          <w:rFonts w:asciiTheme="minorHAnsi" w:hAnsiTheme="minorHAnsi"/>
          <w:b/>
          <w:smallCaps/>
          <w:color w:val="000000"/>
          <w:sz w:val="24"/>
          <w:lang w:val="en-US"/>
        </w:rPr>
        <w:t>ATTITUDES ET PERCEPTIONS OF RURAL YOUTH TOWARDS AGRIBUSINESS AS A PROFESSION IN A POST-CONFLICT CONTEXT. EVIDENCE FROM SOUTH-KIVU IN THE DEMOCRATIC REPUBLIC OF CONGO</w:t>
      </w:r>
    </w:p>
    <w:p w14:paraId="7E17211D" w14:textId="0AE31309" w:rsidR="00DD7ADF" w:rsidRPr="0065646C" w:rsidRDefault="00DD7ADF" w:rsidP="009C7D4A">
      <w:pPr>
        <w:ind w:firstLine="0"/>
        <w:rPr>
          <w:rFonts w:asciiTheme="minorHAnsi" w:hAnsiTheme="minorHAnsi"/>
          <w:color w:val="3366FF"/>
          <w:sz w:val="24"/>
          <w:lang w:val="en-US"/>
        </w:rPr>
      </w:pPr>
    </w:p>
    <w:p w14:paraId="6276C267" w14:textId="77777777" w:rsidR="009C7D4A" w:rsidRPr="0065646C" w:rsidRDefault="009C7D4A" w:rsidP="009C7D4A">
      <w:pPr>
        <w:ind w:firstLine="0"/>
        <w:rPr>
          <w:rFonts w:asciiTheme="minorHAnsi" w:eastAsia="Cambria" w:hAnsiTheme="minorHAnsi" w:cs="Cambria"/>
          <w:color w:val="3366FF"/>
          <w:sz w:val="24"/>
          <w:lang w:val="en-US"/>
        </w:rPr>
      </w:pPr>
    </w:p>
    <w:p w14:paraId="243E8D92" w14:textId="77777777" w:rsidR="00565591" w:rsidRPr="0065646C" w:rsidRDefault="00565591" w:rsidP="00565591">
      <w:pPr>
        <w:ind w:firstLine="0"/>
        <w:jc w:val="center"/>
        <w:rPr>
          <w:rFonts w:asciiTheme="minorHAnsi" w:eastAsia="Cambria" w:hAnsiTheme="minorHAnsi" w:cs="Cambria"/>
          <w:b/>
          <w:bCs/>
          <w:color w:val="000000" w:themeColor="text1"/>
          <w:sz w:val="24"/>
          <w:lang w:val="en-US"/>
        </w:rPr>
      </w:pPr>
      <w:r w:rsidRPr="0065646C">
        <w:rPr>
          <w:rFonts w:asciiTheme="minorHAnsi" w:hAnsiTheme="minorHAnsi"/>
          <w:b/>
          <w:color w:val="000000" w:themeColor="text1"/>
          <w:sz w:val="24"/>
          <w:lang w:val="en-US"/>
        </w:rPr>
        <w:t xml:space="preserve">Innocent </w:t>
      </w:r>
      <w:proofErr w:type="spellStart"/>
      <w:r w:rsidRPr="0065646C">
        <w:rPr>
          <w:rFonts w:asciiTheme="minorHAnsi" w:hAnsiTheme="minorHAnsi"/>
          <w:b/>
          <w:color w:val="000000" w:themeColor="text1"/>
          <w:sz w:val="24"/>
          <w:lang w:val="en-US"/>
        </w:rPr>
        <w:t>Cirhuza</w:t>
      </w:r>
      <w:proofErr w:type="spellEnd"/>
      <w:r w:rsidRPr="0065646C">
        <w:rPr>
          <w:rFonts w:asciiTheme="minorHAnsi" w:hAnsiTheme="minorHAnsi"/>
          <w:b/>
          <w:color w:val="000000" w:themeColor="text1"/>
          <w:sz w:val="24"/>
          <w:lang w:val="en-US"/>
        </w:rPr>
        <w:t xml:space="preserve"> </w:t>
      </w:r>
      <w:proofErr w:type="spellStart"/>
      <w:r w:rsidRPr="0065646C">
        <w:rPr>
          <w:rFonts w:asciiTheme="minorHAnsi" w:hAnsiTheme="minorHAnsi"/>
          <w:b/>
          <w:color w:val="000000" w:themeColor="text1"/>
          <w:sz w:val="24"/>
          <w:lang w:val="en-US"/>
        </w:rPr>
        <w:t>Mwolo</w:t>
      </w:r>
      <w:proofErr w:type="spellEnd"/>
    </w:p>
    <w:p w14:paraId="7278C91C" w14:textId="7E6471B6" w:rsidR="00565591" w:rsidRPr="00565591" w:rsidRDefault="00565591" w:rsidP="00A407E5">
      <w:pPr>
        <w:ind w:right="-2" w:firstLine="0"/>
        <w:jc w:val="center"/>
        <w:rPr>
          <w:rFonts w:asciiTheme="minorHAnsi" w:eastAsia="Cambria" w:hAnsiTheme="minorHAnsi" w:cs="Cambria"/>
          <w:color w:val="000000" w:themeColor="text1"/>
          <w:sz w:val="20"/>
          <w:szCs w:val="20"/>
        </w:rPr>
      </w:pPr>
      <w:r>
        <w:rPr>
          <w:rFonts w:asciiTheme="minorHAnsi" w:hAnsiTheme="minorHAnsi"/>
          <w:color w:val="000000" w:themeColor="text1"/>
          <w:sz w:val="20"/>
        </w:rPr>
        <w:t xml:space="preserve">International </w:t>
      </w:r>
      <w:proofErr w:type="spellStart"/>
      <w:r>
        <w:rPr>
          <w:rFonts w:asciiTheme="minorHAnsi" w:hAnsiTheme="minorHAnsi"/>
          <w:color w:val="000000" w:themeColor="text1"/>
          <w:sz w:val="20"/>
        </w:rPr>
        <w:t>Iberoamerican</w:t>
      </w:r>
      <w:proofErr w:type="spellEnd"/>
      <w:r>
        <w:rPr>
          <w:rFonts w:asciiTheme="minorHAnsi" w:hAnsiTheme="minorHAnsi"/>
          <w:color w:val="000000" w:themeColor="text1"/>
          <w:sz w:val="20"/>
        </w:rPr>
        <w:t xml:space="preserve"> </w:t>
      </w:r>
      <w:proofErr w:type="spellStart"/>
      <w:r>
        <w:rPr>
          <w:rFonts w:asciiTheme="minorHAnsi" w:hAnsiTheme="minorHAnsi"/>
          <w:color w:val="000000" w:themeColor="text1"/>
          <w:sz w:val="20"/>
        </w:rPr>
        <w:t>University</w:t>
      </w:r>
      <w:proofErr w:type="spellEnd"/>
      <w:r>
        <w:rPr>
          <w:rFonts w:asciiTheme="minorHAnsi" w:hAnsiTheme="minorHAnsi"/>
          <w:color w:val="000000" w:themeColor="text1"/>
          <w:sz w:val="20"/>
        </w:rPr>
        <w:t>, República Democrática del Congo</w:t>
      </w:r>
    </w:p>
    <w:p w14:paraId="264E63C7" w14:textId="43A30B82" w:rsidR="00565591" w:rsidRPr="00565591" w:rsidRDefault="00565591" w:rsidP="00565591">
      <w:pPr>
        <w:ind w:firstLine="0"/>
        <w:jc w:val="center"/>
        <w:rPr>
          <w:rFonts w:asciiTheme="minorHAnsi" w:eastAsia="Cambria" w:hAnsiTheme="minorHAnsi" w:cs="Cambria"/>
          <w:color w:val="000000" w:themeColor="text1"/>
          <w:sz w:val="20"/>
          <w:szCs w:val="20"/>
        </w:rPr>
      </w:pPr>
      <w:r>
        <w:rPr>
          <w:rFonts w:asciiTheme="minorHAnsi" w:hAnsiTheme="minorHAnsi"/>
          <w:color w:val="000000" w:themeColor="text1"/>
          <w:sz w:val="20"/>
        </w:rPr>
        <w:t>(</w:t>
      </w:r>
      <w:hyperlink r:id="rId10" w:history="1">
        <w:r>
          <w:rPr>
            <w:rStyle w:val="Hipervnculo"/>
            <w:rFonts w:asciiTheme="minorHAnsi" w:hAnsiTheme="minorHAnsi"/>
            <w:sz w:val="20"/>
          </w:rPr>
          <w:t>innocent.mwolo@doctorado.unini.edu.mx</w:t>
        </w:r>
      </w:hyperlink>
      <w:r>
        <w:rPr>
          <w:rFonts w:asciiTheme="minorHAnsi" w:hAnsiTheme="minorHAnsi"/>
          <w:color w:val="000000" w:themeColor="text1"/>
          <w:sz w:val="20"/>
        </w:rPr>
        <w:t>) (</w:t>
      </w:r>
      <w:hyperlink r:id="rId11" w:history="1">
        <w:r>
          <w:rPr>
            <w:rStyle w:val="Hipervnculo"/>
            <w:rFonts w:asciiTheme="minorHAnsi" w:hAnsiTheme="minorHAnsi"/>
            <w:sz w:val="20"/>
          </w:rPr>
          <w:t>https://orcid.org/0009-0001-6368-9103</w:t>
        </w:r>
      </w:hyperlink>
      <w:r>
        <w:rPr>
          <w:rFonts w:asciiTheme="minorHAnsi" w:hAnsiTheme="minorHAnsi"/>
          <w:color w:val="000000" w:themeColor="text1"/>
          <w:sz w:val="20"/>
        </w:rPr>
        <w:t>)</w:t>
      </w:r>
    </w:p>
    <w:p w14:paraId="2F4E408B" w14:textId="1536C313" w:rsidR="00565591" w:rsidRPr="00565591" w:rsidRDefault="00565591" w:rsidP="00565591">
      <w:pPr>
        <w:ind w:firstLine="0"/>
        <w:jc w:val="center"/>
        <w:rPr>
          <w:rFonts w:asciiTheme="minorHAnsi" w:eastAsia="Cambria" w:hAnsiTheme="minorHAnsi" w:cs="Cambria"/>
          <w:b/>
          <w:bCs/>
          <w:color w:val="000000" w:themeColor="text1"/>
          <w:sz w:val="24"/>
        </w:rPr>
      </w:pPr>
      <w:r>
        <w:rPr>
          <w:rFonts w:asciiTheme="minorHAnsi" w:hAnsiTheme="minorHAnsi"/>
          <w:b/>
          <w:color w:val="000000" w:themeColor="text1"/>
          <w:sz w:val="24"/>
        </w:rPr>
        <w:t>Julio Cesar Martínez Espinosa</w:t>
      </w:r>
    </w:p>
    <w:p w14:paraId="713B8598" w14:textId="1FB1790E" w:rsidR="00565591" w:rsidRPr="00565591" w:rsidRDefault="00565591" w:rsidP="00565591">
      <w:pPr>
        <w:ind w:firstLine="0"/>
        <w:jc w:val="center"/>
        <w:rPr>
          <w:rFonts w:asciiTheme="minorHAnsi" w:eastAsia="Cambria" w:hAnsiTheme="minorHAnsi" w:cs="Cambria"/>
          <w:color w:val="000000" w:themeColor="text1"/>
          <w:sz w:val="20"/>
          <w:szCs w:val="20"/>
        </w:rPr>
      </w:pPr>
      <w:r>
        <w:rPr>
          <w:rFonts w:asciiTheme="minorHAnsi" w:hAnsiTheme="minorHAnsi"/>
          <w:color w:val="000000" w:themeColor="text1"/>
          <w:sz w:val="20"/>
        </w:rPr>
        <w:t xml:space="preserve">International </w:t>
      </w:r>
      <w:proofErr w:type="spellStart"/>
      <w:r>
        <w:rPr>
          <w:rFonts w:asciiTheme="minorHAnsi" w:hAnsiTheme="minorHAnsi"/>
          <w:color w:val="000000" w:themeColor="text1"/>
          <w:sz w:val="20"/>
        </w:rPr>
        <w:t>Iberoamerican</w:t>
      </w:r>
      <w:proofErr w:type="spellEnd"/>
      <w:r>
        <w:rPr>
          <w:rFonts w:asciiTheme="minorHAnsi" w:hAnsiTheme="minorHAnsi"/>
          <w:color w:val="000000" w:themeColor="text1"/>
          <w:sz w:val="20"/>
        </w:rPr>
        <w:t xml:space="preserve"> </w:t>
      </w:r>
      <w:proofErr w:type="spellStart"/>
      <w:r>
        <w:rPr>
          <w:rFonts w:asciiTheme="minorHAnsi" w:hAnsiTheme="minorHAnsi"/>
          <w:color w:val="000000" w:themeColor="text1"/>
          <w:sz w:val="20"/>
        </w:rPr>
        <w:t>Universitya</w:t>
      </w:r>
      <w:proofErr w:type="spellEnd"/>
      <w:r>
        <w:rPr>
          <w:rFonts w:asciiTheme="minorHAnsi" w:hAnsiTheme="minorHAnsi"/>
          <w:color w:val="000000" w:themeColor="text1"/>
          <w:sz w:val="20"/>
        </w:rPr>
        <w:t>, México</w:t>
      </w:r>
    </w:p>
    <w:p w14:paraId="5B3BBD12" w14:textId="2DF9DEE5" w:rsidR="00565591" w:rsidRPr="00565591" w:rsidRDefault="00565591" w:rsidP="00565591">
      <w:pPr>
        <w:ind w:firstLine="0"/>
        <w:jc w:val="center"/>
        <w:rPr>
          <w:rFonts w:asciiTheme="minorHAnsi" w:eastAsia="Cambria" w:hAnsiTheme="minorHAnsi" w:cs="Cambria"/>
          <w:color w:val="000000" w:themeColor="text1"/>
          <w:sz w:val="20"/>
          <w:szCs w:val="20"/>
        </w:rPr>
      </w:pPr>
      <w:r>
        <w:rPr>
          <w:rFonts w:asciiTheme="minorHAnsi" w:hAnsiTheme="minorHAnsi"/>
          <w:color w:val="000000" w:themeColor="text1"/>
          <w:sz w:val="20"/>
        </w:rPr>
        <w:t>(</w:t>
      </w:r>
      <w:hyperlink r:id="rId12" w:history="1">
        <w:r>
          <w:rPr>
            <w:rStyle w:val="Hipervnculo"/>
            <w:rFonts w:asciiTheme="minorHAnsi" w:hAnsiTheme="minorHAnsi"/>
            <w:sz w:val="20"/>
          </w:rPr>
          <w:t>julio.martinez@unini.edu.mx</w:t>
        </w:r>
      </w:hyperlink>
      <w:r>
        <w:rPr>
          <w:rFonts w:asciiTheme="minorHAnsi" w:hAnsiTheme="minorHAnsi"/>
          <w:color w:val="000000" w:themeColor="text1"/>
          <w:sz w:val="20"/>
        </w:rPr>
        <w:t>) (</w:t>
      </w:r>
      <w:hyperlink r:id="rId13" w:history="1">
        <w:r>
          <w:rPr>
            <w:rStyle w:val="Hipervnculo"/>
            <w:rFonts w:asciiTheme="minorHAnsi" w:hAnsiTheme="minorHAnsi"/>
            <w:sz w:val="20"/>
          </w:rPr>
          <w:t>https://orcid.org/0000-0001-5393-4251</w:t>
        </w:r>
      </w:hyperlink>
      <w:r>
        <w:rPr>
          <w:rFonts w:asciiTheme="minorHAnsi" w:hAnsiTheme="minorHAnsi"/>
          <w:color w:val="000000" w:themeColor="text1"/>
          <w:sz w:val="20"/>
        </w:rPr>
        <w:t>)</w:t>
      </w:r>
    </w:p>
    <w:p w14:paraId="644A1DCC" w14:textId="77777777" w:rsidR="00DD7ADF" w:rsidRPr="00565591" w:rsidRDefault="00DD7ADF">
      <w:pPr>
        <w:pBdr>
          <w:bottom w:val="single" w:sz="4" w:space="1" w:color="000000"/>
        </w:pBdr>
        <w:ind w:firstLine="0"/>
        <w:jc w:val="center"/>
        <w:rPr>
          <w:rFonts w:asciiTheme="minorHAnsi" w:eastAsia="Cambria" w:hAnsiTheme="minorHAnsi" w:cs="Cambria"/>
          <w:color w:val="000000"/>
          <w:sz w:val="20"/>
          <w:szCs w:val="20"/>
        </w:rPr>
      </w:pPr>
    </w:p>
    <w:p w14:paraId="0A660CEE" w14:textId="77777777" w:rsidR="001B45D2" w:rsidRPr="00565591" w:rsidRDefault="00943F1F" w:rsidP="00AE5D59">
      <w:pPr>
        <w:ind w:firstLine="0"/>
        <w:jc w:val="left"/>
        <w:rPr>
          <w:rFonts w:asciiTheme="minorHAnsi" w:eastAsia="Cambria" w:hAnsiTheme="minorHAnsi" w:cs="Cambria"/>
          <w:b/>
          <w:sz w:val="21"/>
          <w:szCs w:val="22"/>
        </w:rPr>
      </w:pPr>
      <w:r>
        <w:rPr>
          <w:rFonts w:asciiTheme="minorHAnsi" w:hAnsiTheme="minorHAnsi"/>
          <w:b/>
          <w:sz w:val="21"/>
        </w:rPr>
        <w:t>Información sobre el manuscrito:</w:t>
      </w:r>
    </w:p>
    <w:p w14:paraId="080AB692" w14:textId="77777777" w:rsidR="001B45D2" w:rsidRPr="00565591" w:rsidRDefault="001B45D2" w:rsidP="00AE5D59">
      <w:pPr>
        <w:ind w:firstLine="0"/>
        <w:jc w:val="left"/>
        <w:rPr>
          <w:rFonts w:asciiTheme="minorHAnsi" w:eastAsia="Cambria" w:hAnsiTheme="minorHAnsi" w:cs="Cambria"/>
          <w:b/>
          <w:sz w:val="21"/>
          <w:szCs w:val="22"/>
        </w:rPr>
      </w:pPr>
    </w:p>
    <w:p w14:paraId="1E0AA3AE" w14:textId="73418A1A" w:rsidR="00AE5D59" w:rsidRPr="00565591" w:rsidRDefault="00AE5D59" w:rsidP="00AE5D59">
      <w:pPr>
        <w:ind w:firstLine="0"/>
        <w:jc w:val="left"/>
        <w:rPr>
          <w:rFonts w:asciiTheme="minorHAnsi" w:eastAsia="Cambria" w:hAnsiTheme="minorHAnsi" w:cs="Cambria"/>
          <w:b/>
          <w:sz w:val="18"/>
          <w:szCs w:val="20"/>
        </w:rPr>
      </w:pPr>
      <w:r>
        <w:rPr>
          <w:rFonts w:asciiTheme="minorHAnsi" w:hAnsiTheme="minorHAnsi"/>
          <w:b/>
          <w:sz w:val="18"/>
        </w:rPr>
        <w:t>Recibido:</w:t>
      </w:r>
      <w:bookmarkStart w:id="0" w:name="bookmark=id.tyjcwt"/>
      <w:bookmarkEnd w:id="0"/>
      <w:r>
        <w:rPr>
          <w:rFonts w:asciiTheme="minorHAnsi" w:hAnsiTheme="minorHAnsi"/>
          <w:sz w:val="18"/>
        </w:rPr>
        <w:t>08/04/2023</w:t>
      </w:r>
    </w:p>
    <w:p w14:paraId="19361D3C" w14:textId="5796411A" w:rsidR="00AE5D59" w:rsidRPr="00565591" w:rsidRDefault="00AE5D59" w:rsidP="00AE5D59">
      <w:pPr>
        <w:ind w:firstLine="0"/>
        <w:jc w:val="left"/>
        <w:rPr>
          <w:rFonts w:asciiTheme="minorHAnsi" w:eastAsia="Cambria" w:hAnsiTheme="minorHAnsi" w:cs="Cambria"/>
          <w:b/>
          <w:sz w:val="18"/>
          <w:szCs w:val="20"/>
        </w:rPr>
      </w:pPr>
      <w:r>
        <w:rPr>
          <w:rFonts w:asciiTheme="minorHAnsi" w:hAnsiTheme="minorHAnsi"/>
          <w:b/>
          <w:sz w:val="18"/>
        </w:rPr>
        <w:t xml:space="preserve">Revisado: </w:t>
      </w:r>
      <w:r>
        <w:rPr>
          <w:rFonts w:asciiTheme="minorHAnsi" w:hAnsiTheme="minorHAnsi"/>
          <w:sz w:val="18"/>
        </w:rPr>
        <w:t>04/07/2023</w:t>
      </w:r>
    </w:p>
    <w:p w14:paraId="4C0C442A" w14:textId="1E6ADC8E" w:rsidR="00DD7ADF" w:rsidRPr="00565591" w:rsidRDefault="0065646C" w:rsidP="00AE5D59">
      <w:pPr>
        <w:ind w:firstLine="0"/>
        <w:jc w:val="left"/>
        <w:rPr>
          <w:rFonts w:asciiTheme="minorHAnsi" w:eastAsia="Cambria" w:hAnsiTheme="minorHAnsi" w:cs="Cambria"/>
          <w:b/>
          <w:bCs/>
          <w:sz w:val="18"/>
          <w:szCs w:val="20"/>
        </w:rPr>
      </w:pPr>
      <w:r>
        <w:rPr>
          <w:rFonts w:asciiTheme="minorHAnsi" w:hAnsiTheme="minorHAnsi"/>
          <w:b/>
          <w:sz w:val="18"/>
        </w:rPr>
        <w:t>Aceptado</w:t>
      </w:r>
      <w:r w:rsidR="00AE5D59">
        <w:rPr>
          <w:rFonts w:asciiTheme="minorHAnsi" w:hAnsiTheme="minorHAnsi"/>
          <w:b/>
          <w:sz w:val="18"/>
        </w:rPr>
        <w:t xml:space="preserve">: </w:t>
      </w:r>
      <w:r w:rsidR="00AE5D59">
        <w:rPr>
          <w:rFonts w:asciiTheme="minorHAnsi" w:hAnsiTheme="minorHAnsi"/>
          <w:sz w:val="18"/>
        </w:rPr>
        <w:t>04/12/2023</w:t>
      </w: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5969"/>
      </w:tblGrid>
      <w:tr w:rsidR="00AE5D59" w:rsidRPr="00565591" w14:paraId="62FC69BB" w14:textId="77777777" w:rsidTr="00565591">
        <w:tc>
          <w:tcPr>
            <w:tcW w:w="3245" w:type="dxa"/>
            <w:tcBorders>
              <w:top w:val="single" w:sz="4" w:space="0" w:color="auto"/>
              <w:bottom w:val="single" w:sz="4" w:space="0" w:color="auto"/>
            </w:tcBorders>
          </w:tcPr>
          <w:p w14:paraId="0D9FD009" w14:textId="77777777" w:rsidR="00AE5D59" w:rsidRPr="00565591" w:rsidRDefault="00AE5D59">
            <w:pPr>
              <w:ind w:firstLine="0"/>
              <w:rPr>
                <w:rFonts w:asciiTheme="minorHAnsi" w:eastAsia="Cambria" w:hAnsiTheme="minorHAnsi" w:cs="Cambria"/>
                <w:smallCaps/>
                <w:sz w:val="24"/>
              </w:rPr>
            </w:pPr>
          </w:p>
        </w:tc>
        <w:tc>
          <w:tcPr>
            <w:tcW w:w="5969" w:type="dxa"/>
            <w:tcBorders>
              <w:top w:val="single" w:sz="4" w:space="0" w:color="auto"/>
              <w:bottom w:val="single" w:sz="4" w:space="0" w:color="auto"/>
            </w:tcBorders>
          </w:tcPr>
          <w:p w14:paraId="46FC9567" w14:textId="77777777" w:rsidR="00AE5D59" w:rsidRPr="00565591" w:rsidRDefault="00AE5D59">
            <w:pPr>
              <w:ind w:firstLine="0"/>
              <w:rPr>
                <w:rFonts w:asciiTheme="minorHAnsi" w:eastAsia="Cambria" w:hAnsiTheme="minorHAnsi" w:cs="Cambria"/>
                <w:b/>
                <w:bCs/>
                <w:smallCaps/>
                <w:sz w:val="24"/>
              </w:rPr>
            </w:pPr>
            <w:r>
              <w:rPr>
                <w:rFonts w:asciiTheme="minorHAnsi" w:hAnsiTheme="minorHAnsi"/>
                <w:b/>
                <w:smallCaps/>
                <w:sz w:val="24"/>
              </w:rPr>
              <w:t>Resumen</w:t>
            </w:r>
          </w:p>
        </w:tc>
      </w:tr>
      <w:tr w:rsidR="00AE5D59" w:rsidRPr="00565591" w14:paraId="5F25D7A1" w14:textId="77777777" w:rsidTr="00565591">
        <w:tc>
          <w:tcPr>
            <w:tcW w:w="3245" w:type="dxa"/>
            <w:tcBorders>
              <w:top w:val="single" w:sz="4" w:space="0" w:color="auto"/>
              <w:bottom w:val="single" w:sz="4" w:space="0" w:color="auto"/>
            </w:tcBorders>
          </w:tcPr>
          <w:p w14:paraId="0871188F" w14:textId="77777777" w:rsidR="00AE5D59" w:rsidRPr="00565591" w:rsidRDefault="00AE5D59">
            <w:pPr>
              <w:ind w:firstLine="0"/>
              <w:rPr>
                <w:rFonts w:asciiTheme="minorHAnsi" w:eastAsia="Cambria" w:hAnsiTheme="minorHAnsi" w:cs="Cambria"/>
                <w:sz w:val="24"/>
              </w:rPr>
            </w:pPr>
          </w:p>
          <w:p w14:paraId="75C7CF75" w14:textId="77777777" w:rsidR="00AE5D59" w:rsidRPr="00565591" w:rsidRDefault="00AE5D59" w:rsidP="004B6A27">
            <w:pPr>
              <w:ind w:firstLine="0"/>
              <w:rPr>
                <w:rFonts w:asciiTheme="minorHAnsi" w:eastAsia="Cambria" w:hAnsiTheme="minorHAnsi" w:cs="Cambria"/>
                <w:b/>
                <w:sz w:val="20"/>
                <w:szCs w:val="20"/>
              </w:rPr>
            </w:pPr>
            <w:r>
              <w:rPr>
                <w:rFonts w:asciiTheme="minorHAnsi" w:hAnsiTheme="minorHAnsi"/>
                <w:b/>
                <w:sz w:val="20"/>
              </w:rPr>
              <w:t xml:space="preserve">Palabras clave: </w:t>
            </w:r>
          </w:p>
          <w:p w14:paraId="0D6EAD79" w14:textId="6E43C064" w:rsidR="00AE5D59" w:rsidRPr="00565591" w:rsidRDefault="00565591" w:rsidP="00E81303">
            <w:pPr>
              <w:ind w:firstLine="0"/>
              <w:jc w:val="left"/>
              <w:rPr>
                <w:rFonts w:asciiTheme="minorHAnsi" w:eastAsia="Cambria" w:hAnsiTheme="minorHAnsi" w:cs="Cambria"/>
                <w:sz w:val="20"/>
                <w:szCs w:val="20"/>
              </w:rPr>
            </w:pPr>
            <w:r>
              <w:rPr>
                <w:rFonts w:asciiTheme="minorHAnsi" w:hAnsiTheme="minorHAnsi"/>
                <w:sz w:val="20"/>
              </w:rPr>
              <w:t>actitudes, percepciones, juventud rural, agronegocios.</w:t>
            </w:r>
          </w:p>
        </w:tc>
        <w:tc>
          <w:tcPr>
            <w:tcW w:w="5969" w:type="dxa"/>
            <w:tcBorders>
              <w:top w:val="single" w:sz="4" w:space="0" w:color="auto"/>
              <w:bottom w:val="single" w:sz="4" w:space="0" w:color="auto"/>
            </w:tcBorders>
          </w:tcPr>
          <w:p w14:paraId="6A01B912" w14:textId="24037231" w:rsidR="00AE5D59" w:rsidRPr="00565591" w:rsidRDefault="0065646C" w:rsidP="004B6A27">
            <w:pPr>
              <w:pBdr>
                <w:top w:val="nil"/>
                <w:left w:val="nil"/>
                <w:bottom w:val="nil"/>
                <w:right w:val="nil"/>
                <w:between w:val="nil"/>
              </w:pBdr>
              <w:ind w:firstLine="0"/>
              <w:rPr>
                <w:rFonts w:asciiTheme="minorHAnsi" w:eastAsia="Cambria" w:hAnsiTheme="minorHAnsi" w:cs="Cambria"/>
                <w:color w:val="000000"/>
                <w:sz w:val="20"/>
                <w:szCs w:val="20"/>
              </w:rPr>
            </w:pPr>
            <w:r w:rsidRPr="00565591">
              <w:rPr>
                <w:rFonts w:asciiTheme="minorHAnsi" w:eastAsia="Cambria" w:hAnsiTheme="minorHAnsi" w:cs="Cambria"/>
                <w:color w:val="000000"/>
                <w:sz w:val="20"/>
                <w:szCs w:val="20"/>
              </w:rPr>
              <w:t xml:space="preserve">La demografía dinámica mundial con un número creciente de jóvenes tendrá efectos socioeconómicos variables en los países de bajos ingresos. La pobreza extrema de los jóvenes, especialmente en las zonas rurales, sigue siendo muy superior a la media mundial. Crear más y mejores puestos de trabajo para los jóvenes es, por tanto, una prioridad urgente del siglo. A pesar del papel impulsor reconocido de la agroindustria en el crecimiento económico, la creación de empleo y la reducción de la pobreza, hay evidencia de desconexión de los jóvenes hacia la agroindustria. El principal objetivo </w:t>
            </w:r>
            <w:proofErr w:type="spellStart"/>
            <w:r w:rsidRPr="00565591">
              <w:rPr>
                <w:rFonts w:asciiTheme="minorHAnsi" w:eastAsia="Cambria" w:hAnsiTheme="minorHAnsi" w:cs="Cambria"/>
                <w:color w:val="000000"/>
                <w:sz w:val="20"/>
                <w:szCs w:val="20"/>
              </w:rPr>
              <w:t>d’este</w:t>
            </w:r>
            <w:proofErr w:type="spellEnd"/>
            <w:r w:rsidRPr="00565591">
              <w:rPr>
                <w:rFonts w:asciiTheme="minorHAnsi" w:eastAsia="Cambria" w:hAnsiTheme="minorHAnsi" w:cs="Cambria"/>
                <w:color w:val="000000"/>
                <w:sz w:val="20"/>
                <w:szCs w:val="20"/>
              </w:rPr>
              <w:t xml:space="preserve"> estudio fue analizar las actitudes y percepciones de los jóvenes rurales hacia la agroindustria como profesión en Kivu del Sur, una zona de posconflicto. Para comprender profundamente la complejidad del tema se utilizó un enfoque sistémico. Se elaboró un cuestionario tipo Likert con una escala de 5 puntos para encuestar a 456 jóvenes rurales de 15 a 35 años seleccionados al azar mediante la técnica de la Urna de Bernoulli. Se utilizó el software SPSS para el análisis estadístico descriptivo e inferencial. Se utilizaron las pruebas de Mann-Whitney y Kruskal-Wallis para comparar las puntuaciones de percepción de los diferentes grupos analizados. El estudio reveló que el 53,5% de los jóvenes tiene una actitud negativa hacia la agroindustria, el 29,8% muestra una actitud neutral y sólo el 16,7% de ellos muestra una actitud positiva. El 76,3% afirmó que solo pueden dedicarse a la agroindustria cuando no tienen otro trabajo. El 77,6% declaró que la agroindustria no les permite cubrir todas sus necesidades básicas. El estudio reveló una diferencia estadísticamente significativa en las puntuaciones de las percepciones personales y sociales entre diferentes grupos de edad, entre hombres y mujeres, así como entre </w:t>
            </w:r>
            <w:r w:rsidRPr="00565591">
              <w:rPr>
                <w:rFonts w:asciiTheme="minorHAnsi" w:eastAsia="Cambria" w:hAnsiTheme="minorHAnsi" w:cs="Cambria"/>
                <w:color w:val="000000"/>
                <w:sz w:val="20"/>
                <w:szCs w:val="20"/>
              </w:rPr>
              <w:lastRenderedPageBreak/>
              <w:t>diferentes grupos de nivel de educación juvenil. Se observó una diferencia estadísticamente significativa en los puntajes de las percepciones económicas solo entre las diferentes áreas de la encuesta. El estudio recomienda una nueva dinámica de sensibilización a favor de la profesión de agronegocios, que involucre al sistema educativo, los medios de comunicación y los actores del desarrollo</w:t>
            </w:r>
            <w:r w:rsidR="00565591">
              <w:rPr>
                <w:rFonts w:asciiTheme="minorHAnsi" w:hAnsiTheme="minorHAnsi"/>
                <w:color w:val="000000"/>
                <w:sz w:val="20"/>
              </w:rPr>
              <w:t>.</w:t>
            </w:r>
          </w:p>
        </w:tc>
      </w:tr>
      <w:tr w:rsidR="00E549B7" w:rsidRPr="00565591" w14:paraId="7379D6B7" w14:textId="77777777" w:rsidTr="00565591">
        <w:tc>
          <w:tcPr>
            <w:tcW w:w="3245" w:type="dxa"/>
            <w:tcBorders>
              <w:top w:val="single" w:sz="4" w:space="0" w:color="auto"/>
              <w:bottom w:val="single" w:sz="4" w:space="0" w:color="auto"/>
            </w:tcBorders>
          </w:tcPr>
          <w:p w14:paraId="49CE3180" w14:textId="77777777" w:rsidR="00E549B7" w:rsidRPr="00565591" w:rsidRDefault="00E549B7" w:rsidP="00E549B7">
            <w:pPr>
              <w:ind w:firstLine="0"/>
              <w:rPr>
                <w:rFonts w:asciiTheme="minorHAnsi" w:eastAsia="Cambria" w:hAnsiTheme="minorHAnsi" w:cs="Cambria"/>
                <w:b/>
              </w:rPr>
            </w:pPr>
          </w:p>
        </w:tc>
        <w:tc>
          <w:tcPr>
            <w:tcW w:w="5969" w:type="dxa"/>
            <w:tcBorders>
              <w:top w:val="single" w:sz="4" w:space="0" w:color="auto"/>
              <w:bottom w:val="single" w:sz="4" w:space="0" w:color="auto"/>
            </w:tcBorders>
          </w:tcPr>
          <w:p w14:paraId="064DD891" w14:textId="4B6ACBF5" w:rsidR="00E549B7" w:rsidRPr="00565591" w:rsidRDefault="00E549B7" w:rsidP="00E549B7">
            <w:pPr>
              <w:pBdr>
                <w:top w:val="nil"/>
                <w:left w:val="nil"/>
                <w:bottom w:val="nil"/>
                <w:right w:val="nil"/>
                <w:between w:val="nil"/>
              </w:pBdr>
              <w:ind w:firstLine="0"/>
              <w:rPr>
                <w:rFonts w:asciiTheme="minorHAnsi" w:eastAsia="Cambria" w:hAnsiTheme="minorHAnsi" w:cs="Cambria"/>
                <w:b/>
                <w:bCs/>
                <w:color w:val="000000"/>
                <w:sz w:val="20"/>
                <w:szCs w:val="20"/>
              </w:rPr>
            </w:pPr>
            <w:r>
              <w:rPr>
                <w:rFonts w:asciiTheme="minorHAnsi" w:hAnsiTheme="minorHAnsi"/>
                <w:b/>
                <w:color w:val="000000"/>
                <w:sz w:val="20"/>
              </w:rPr>
              <w:t>ABSTRACT</w:t>
            </w:r>
          </w:p>
        </w:tc>
      </w:tr>
      <w:tr w:rsidR="00E549B7" w:rsidRPr="006F1472" w14:paraId="5D72D462" w14:textId="77777777" w:rsidTr="00565591">
        <w:tc>
          <w:tcPr>
            <w:tcW w:w="3245" w:type="dxa"/>
            <w:tcBorders>
              <w:top w:val="single" w:sz="4" w:space="0" w:color="auto"/>
              <w:bottom w:val="single" w:sz="4" w:space="0" w:color="auto"/>
            </w:tcBorders>
          </w:tcPr>
          <w:p w14:paraId="5AF666C3" w14:textId="77777777" w:rsidR="00E549B7" w:rsidRPr="0065646C" w:rsidRDefault="00E549B7" w:rsidP="00E549B7">
            <w:pPr>
              <w:ind w:firstLine="0"/>
              <w:rPr>
                <w:rFonts w:asciiTheme="minorHAnsi" w:eastAsia="Cambria" w:hAnsiTheme="minorHAnsi" w:cs="Cambria"/>
                <w:b/>
                <w:lang w:val="en-US"/>
              </w:rPr>
            </w:pPr>
          </w:p>
          <w:p w14:paraId="39D12088" w14:textId="33408264" w:rsidR="00E549B7" w:rsidRPr="0065646C" w:rsidRDefault="00E549B7" w:rsidP="00E549B7">
            <w:pPr>
              <w:ind w:firstLine="0"/>
              <w:rPr>
                <w:rFonts w:asciiTheme="minorHAnsi" w:eastAsia="Cambria" w:hAnsiTheme="minorHAnsi" w:cs="Cambria"/>
                <w:b/>
                <w:sz w:val="20"/>
                <w:szCs w:val="20"/>
                <w:lang w:val="en-US"/>
              </w:rPr>
            </w:pPr>
            <w:r w:rsidRPr="0065646C">
              <w:rPr>
                <w:rFonts w:asciiTheme="minorHAnsi" w:hAnsiTheme="minorHAnsi"/>
                <w:b/>
                <w:sz w:val="20"/>
                <w:lang w:val="en-US"/>
              </w:rPr>
              <w:t>Keyword</w:t>
            </w:r>
            <w:r w:rsidR="0065646C">
              <w:rPr>
                <w:rFonts w:asciiTheme="minorHAnsi" w:hAnsiTheme="minorHAnsi"/>
                <w:b/>
                <w:sz w:val="20"/>
                <w:lang w:val="en-US"/>
              </w:rPr>
              <w:t>s</w:t>
            </w:r>
            <w:r w:rsidRPr="0065646C">
              <w:rPr>
                <w:rFonts w:asciiTheme="minorHAnsi" w:hAnsiTheme="minorHAnsi"/>
                <w:b/>
                <w:sz w:val="20"/>
                <w:lang w:val="en-US"/>
              </w:rPr>
              <w:t xml:space="preserve">: </w:t>
            </w:r>
          </w:p>
          <w:p w14:paraId="3219A898" w14:textId="6BD2C9E7" w:rsidR="00E549B7" w:rsidRPr="0065646C" w:rsidRDefault="00565591" w:rsidP="00E549B7">
            <w:pPr>
              <w:ind w:firstLine="0"/>
              <w:jc w:val="left"/>
              <w:rPr>
                <w:rFonts w:asciiTheme="minorHAnsi" w:eastAsia="Cambria" w:hAnsiTheme="minorHAnsi" w:cs="Cambria"/>
                <w:bCs/>
                <w:lang w:val="en-US"/>
              </w:rPr>
            </w:pPr>
            <w:r w:rsidRPr="0065646C">
              <w:rPr>
                <w:rFonts w:asciiTheme="minorHAnsi" w:hAnsiTheme="minorHAnsi"/>
                <w:sz w:val="20"/>
                <w:lang w:val="en-US"/>
              </w:rPr>
              <w:t>attitudes, perceptions, rural youth, agribusiness.</w:t>
            </w:r>
          </w:p>
        </w:tc>
        <w:tc>
          <w:tcPr>
            <w:tcW w:w="5969" w:type="dxa"/>
            <w:tcBorders>
              <w:top w:val="single" w:sz="4" w:space="0" w:color="auto"/>
              <w:bottom w:val="single" w:sz="4" w:space="0" w:color="auto"/>
            </w:tcBorders>
          </w:tcPr>
          <w:p w14:paraId="1D659787" w14:textId="083DB9A3" w:rsidR="00E549B7" w:rsidRPr="0065646C" w:rsidRDefault="0065646C" w:rsidP="00E549B7">
            <w:pPr>
              <w:pBdr>
                <w:top w:val="nil"/>
                <w:left w:val="nil"/>
                <w:bottom w:val="nil"/>
                <w:right w:val="nil"/>
                <w:between w:val="nil"/>
              </w:pBdr>
              <w:ind w:firstLine="0"/>
              <w:rPr>
                <w:rFonts w:asciiTheme="minorHAnsi" w:eastAsia="Cambria" w:hAnsiTheme="minorHAnsi" w:cs="Cambria"/>
                <w:color w:val="000000"/>
                <w:sz w:val="20"/>
                <w:szCs w:val="20"/>
                <w:lang w:val="en-US"/>
              </w:rPr>
            </w:pPr>
            <w:r w:rsidRPr="0065646C">
              <w:rPr>
                <w:rFonts w:asciiTheme="minorHAnsi" w:eastAsia="Cambria" w:hAnsiTheme="minorHAnsi" w:cs="Cambria"/>
                <w:color w:val="000000"/>
                <w:sz w:val="20"/>
                <w:szCs w:val="20"/>
                <w:lang w:val="en-US"/>
              </w:rPr>
              <w:t>The global demographic dynamics with increasing number of young people will have varying socio-economic effects on low-income countries. The extreme youth poverty, particularly in rural areas, is still much higher than the global average. Creating more and better jobs for young people is therefore an urgent priority of the century. Despite the recognized driving role of the agribusiness in economic growth, job creation and poverty reduction, there is evidence of youth disengagement towards agribusiness. The main objective of this study was to analyze the attitudes and perceptions of rural youth towards agribusiness as a profession in South Kivu, a post conflict area. To deeply understand the complexity of the issue, a systemic approach was used. A Likert-type questionnaire with a 5-points scale was developed to survey 456 rural youth aged 15 to 35 randomly selected using the Bernoulli Urn technique. SPSS software was used for descriptive and inferential statistical analysis. The Mann-Whitney and Kruskal-Wallis tests were used to compare the perceptions scores of the different groups analyzed. The study revealed that 53.5% of young people have a negative attitude towards agribusiness, 29.8% display a neutral attitude and only 16.7% of them show a positive attitude. 76.3% confirmed that they can only engage in agribusiness when they have no other job. 77.6% declared that agribusiness cannot enable them to meet all their basic needs. The study revealed a statistically significant difference in personal and societal perceptions scores between different age groups, between men and women, as well as between different youth education level groups. A statistically significant difference in the economic perceptions scores was observed only between the different survey areas. The study recommends a new dynamic of awareness-raising in favor of agribusiness profession, involving education system, media, and development actors</w:t>
            </w:r>
            <w:r w:rsidR="00565591" w:rsidRPr="0065646C">
              <w:rPr>
                <w:rFonts w:asciiTheme="minorHAnsi" w:hAnsiTheme="minorHAnsi"/>
                <w:color w:val="000000"/>
                <w:sz w:val="20"/>
                <w:lang w:val="en-US"/>
              </w:rPr>
              <w:t>.</w:t>
            </w:r>
          </w:p>
        </w:tc>
      </w:tr>
    </w:tbl>
    <w:p w14:paraId="194A923D" w14:textId="77777777" w:rsidR="004B6A27" w:rsidRPr="0065646C" w:rsidRDefault="004B6A27">
      <w:pPr>
        <w:ind w:firstLine="0"/>
        <w:rPr>
          <w:rFonts w:asciiTheme="minorHAnsi" w:eastAsia="Cambria" w:hAnsiTheme="minorHAnsi" w:cs="Cambria"/>
          <w:sz w:val="24"/>
          <w:lang w:val="en-US"/>
        </w:rPr>
      </w:pPr>
    </w:p>
    <w:p w14:paraId="749E9CA1" w14:textId="77777777" w:rsidR="00AE5D59" w:rsidRPr="0065646C" w:rsidRDefault="00AE5D59">
      <w:pPr>
        <w:rPr>
          <w:rFonts w:asciiTheme="minorHAnsi" w:eastAsia="Cambria" w:hAnsiTheme="minorHAnsi" w:cs="Cambria"/>
          <w:color w:val="3366FF"/>
          <w:sz w:val="20"/>
          <w:szCs w:val="20"/>
          <w:lang w:val="en-US"/>
        </w:rPr>
      </w:pPr>
      <w:r w:rsidRPr="0065646C">
        <w:rPr>
          <w:lang w:val="en-US"/>
        </w:rPr>
        <w:br w:type="page"/>
      </w:r>
    </w:p>
    <w:p w14:paraId="03EBB252" w14:textId="77777777" w:rsidR="00AE5D59" w:rsidRPr="0065646C" w:rsidRDefault="00AE5D59">
      <w:pPr>
        <w:ind w:firstLine="0"/>
        <w:rPr>
          <w:rFonts w:asciiTheme="minorHAnsi" w:eastAsia="Cambria" w:hAnsiTheme="minorHAnsi" w:cs="Cambria"/>
          <w:color w:val="3366FF"/>
          <w:sz w:val="20"/>
          <w:szCs w:val="20"/>
          <w:lang w:val="en-US"/>
        </w:rPr>
      </w:pPr>
    </w:p>
    <w:p w14:paraId="0424A193" w14:textId="15E66BBB" w:rsidR="00DD7ADF" w:rsidRPr="00565591" w:rsidRDefault="0091628F">
      <w:pPr>
        <w:ind w:firstLine="0"/>
        <w:jc w:val="center"/>
        <w:rPr>
          <w:rFonts w:asciiTheme="minorHAnsi" w:hAnsiTheme="minorHAnsi"/>
          <w:color w:val="0070C0"/>
          <w:sz w:val="20"/>
        </w:rPr>
      </w:pPr>
      <w:r>
        <w:rPr>
          <w:rFonts w:asciiTheme="minorHAnsi" w:hAnsiTheme="minorHAnsi"/>
          <w:b/>
          <w:sz w:val="28"/>
        </w:rPr>
        <w:t>Introducción</w:t>
      </w:r>
      <w:r>
        <w:rPr>
          <w:rFonts w:asciiTheme="minorHAnsi" w:hAnsiTheme="minorHAnsi"/>
          <w:b/>
          <w:sz w:val="24"/>
        </w:rPr>
        <w:t xml:space="preserve"> </w:t>
      </w:r>
    </w:p>
    <w:p w14:paraId="2B46434A" w14:textId="77777777" w:rsidR="00565591" w:rsidRPr="00565591" w:rsidRDefault="00565591">
      <w:pPr>
        <w:ind w:firstLine="0"/>
        <w:jc w:val="center"/>
        <w:rPr>
          <w:rFonts w:asciiTheme="minorHAnsi" w:eastAsia="Cambria" w:hAnsiTheme="minorHAnsi" w:cs="Cambria"/>
          <w:b/>
          <w:sz w:val="24"/>
        </w:rPr>
      </w:pPr>
    </w:p>
    <w:p w14:paraId="1A5351FD" w14:textId="77777777" w:rsidR="00565591" w:rsidRPr="00565591" w:rsidRDefault="00565591" w:rsidP="00565591">
      <w:pPr>
        <w:ind w:firstLine="709"/>
        <w:contextualSpacing/>
        <w:rPr>
          <w:rFonts w:asciiTheme="minorHAnsi" w:hAnsiTheme="minorHAnsi"/>
          <w:sz w:val="24"/>
        </w:rPr>
      </w:pPr>
      <w:r>
        <w:rPr>
          <w:rFonts w:asciiTheme="minorHAnsi" w:hAnsiTheme="minorHAnsi"/>
          <w:sz w:val="24"/>
        </w:rPr>
        <w:t xml:space="preserve">El mundo se ve actualmente perturbado por una dinámica socioeconómica marcada por el elevado crecimiento demográfico. Se prevé que la población mundial aumente en 2.200 millones de personas en los próximos 30 años, pasando de los 8.000 millones actuales a 9.700 millones en 2050 y alcanzando un máximo de 10.400 millones en 2080. El Departamento de Asuntos Económicos y Sociales de las Naciones Unidas (UNDESA, 2022, 2019) y la Deutsche </w:t>
      </w:r>
      <w:proofErr w:type="spellStart"/>
      <w:r>
        <w:rPr>
          <w:rFonts w:asciiTheme="minorHAnsi" w:hAnsiTheme="minorHAnsi"/>
          <w:sz w:val="24"/>
        </w:rPr>
        <w:t>Gesellschaft</w:t>
      </w:r>
      <w:proofErr w:type="spellEnd"/>
      <w:r>
        <w:rPr>
          <w:rFonts w:asciiTheme="minorHAnsi" w:hAnsiTheme="minorHAnsi"/>
          <w:sz w:val="24"/>
        </w:rPr>
        <w:t xml:space="preserve"> </w:t>
      </w:r>
      <w:proofErr w:type="spellStart"/>
      <w:r>
        <w:rPr>
          <w:rFonts w:asciiTheme="minorHAnsi" w:hAnsiTheme="minorHAnsi"/>
          <w:sz w:val="24"/>
        </w:rPr>
        <w:t>für</w:t>
      </w:r>
      <w:proofErr w:type="spellEnd"/>
      <w:r>
        <w:rPr>
          <w:rFonts w:asciiTheme="minorHAnsi" w:hAnsiTheme="minorHAnsi"/>
          <w:sz w:val="24"/>
        </w:rPr>
        <w:t xml:space="preserve"> </w:t>
      </w:r>
      <w:proofErr w:type="spellStart"/>
      <w:r>
        <w:rPr>
          <w:rFonts w:asciiTheme="minorHAnsi" w:hAnsiTheme="minorHAnsi"/>
          <w:sz w:val="24"/>
        </w:rPr>
        <w:t>Internationale</w:t>
      </w:r>
      <w:proofErr w:type="spellEnd"/>
      <w:r>
        <w:rPr>
          <w:rFonts w:asciiTheme="minorHAnsi" w:hAnsiTheme="minorHAnsi"/>
          <w:sz w:val="24"/>
        </w:rPr>
        <w:t xml:space="preserve"> </w:t>
      </w:r>
      <w:proofErr w:type="spellStart"/>
      <w:r>
        <w:rPr>
          <w:rFonts w:asciiTheme="minorHAnsi" w:hAnsiTheme="minorHAnsi"/>
          <w:sz w:val="24"/>
        </w:rPr>
        <w:t>Zusammenarbeit</w:t>
      </w:r>
      <w:proofErr w:type="spellEnd"/>
      <w:r>
        <w:rPr>
          <w:rFonts w:asciiTheme="minorHAnsi" w:hAnsiTheme="minorHAnsi"/>
          <w:sz w:val="24"/>
        </w:rPr>
        <w:t xml:space="preserve"> (GIZ, 2020) indican que la mayor parte del aumento de la población mundial tendrá lugar en el África subsahariana, donde se espera que la población se duplique de aquí a </w:t>
      </w:r>
      <w:proofErr w:type="gramStart"/>
      <w:r>
        <w:rPr>
          <w:rFonts w:asciiTheme="minorHAnsi" w:hAnsiTheme="minorHAnsi"/>
          <w:sz w:val="24"/>
        </w:rPr>
        <w:t>2050 .</w:t>
      </w:r>
      <w:proofErr w:type="gramEnd"/>
      <w:r>
        <w:rPr>
          <w:rFonts w:asciiTheme="minorHAnsi" w:hAnsiTheme="minorHAnsi"/>
          <w:sz w:val="24"/>
        </w:rPr>
        <w:t xml:space="preserve"> Con este rápido crecimiento de la población, la inseguridad alimentaria, el desempleo juvenil y el subempleo se han convertido en graves problemas en muchos países en desarrollo, como muestra la Organización de las Naciones Unidas para la Agricultura y la Alimentación (FAO, 2021).</w:t>
      </w:r>
    </w:p>
    <w:p w14:paraId="463A6105" w14:textId="35871592" w:rsidR="00565591" w:rsidRPr="00565591" w:rsidRDefault="00565591" w:rsidP="00565591">
      <w:pPr>
        <w:ind w:firstLine="709"/>
        <w:contextualSpacing/>
        <w:rPr>
          <w:rFonts w:asciiTheme="minorHAnsi" w:hAnsiTheme="minorHAnsi"/>
          <w:sz w:val="24"/>
        </w:rPr>
      </w:pPr>
      <w:r>
        <w:rPr>
          <w:rFonts w:asciiTheme="minorHAnsi" w:hAnsiTheme="minorHAnsi"/>
          <w:sz w:val="24"/>
        </w:rPr>
        <w:t>En el África Subsahariana, casi el 20% de los jóvenes de entre 15 y 24 años y el 30% de los de entre 25 y 34 años carecen de educación formal (</w:t>
      </w:r>
      <w:proofErr w:type="spellStart"/>
      <w:r>
        <w:rPr>
          <w:rFonts w:asciiTheme="minorHAnsi" w:hAnsiTheme="minorHAnsi"/>
          <w:sz w:val="24"/>
        </w:rPr>
        <w:t>Filmer</w:t>
      </w:r>
      <w:proofErr w:type="spellEnd"/>
      <w:r>
        <w:rPr>
          <w:rFonts w:asciiTheme="minorHAnsi" w:hAnsiTheme="minorHAnsi"/>
          <w:sz w:val="24"/>
        </w:rPr>
        <w:t xml:space="preserve"> &amp; Fox 2014 en GIZ, 2020), por lo que tendrán dificultades para integrarse en el mercado laboral. El estudio realizado por la </w:t>
      </w:r>
      <w:r>
        <w:rPr>
          <w:rFonts w:asciiTheme="minorHAnsi" w:hAnsiTheme="minorHAnsi"/>
          <w:sz w:val="24"/>
          <w:shd w:val="clear" w:color="auto" w:fill="FFFFFF"/>
        </w:rPr>
        <w:t>Organización para la Cooperación y el Desarrollo Económicos</w:t>
      </w:r>
      <w:r>
        <w:rPr>
          <w:rFonts w:asciiTheme="minorHAnsi" w:hAnsiTheme="minorHAnsi"/>
          <w:sz w:val="24"/>
        </w:rPr>
        <w:t xml:space="preserve"> (OCDE, 2017) en 32 países ubicados en África, Asia, Europa, América Latina y el Caribe revela que la mayoría de los jóvenes (15 - 29 años) ingresaron al mercado laboral con altas aspiraciones profesionales, lo que resulta en una enorme brecha entre las aspiraciones de los jóvenes y la realidad del mercado laboral. Cabe señalar que los jóvenes que viven en zonas rurales africanas se ven especialmente afectados por esta situación de forma desproporcionada debido a su lejanía de los servicios sociales básicos y a la violencia provocada por los conflictos armados y las guerras. Así pues, la agricultura sigue siendo el principal sector de empleo en la mayoría de los países del África subsahariana. Este sector puede permitir a los jóvenes rurales encontrar empleo, generar ingresos y construir sus carreras (Comisión de la Unión Africana y OCDE, 2018; </w:t>
      </w:r>
      <w:proofErr w:type="spellStart"/>
      <w:r>
        <w:rPr>
          <w:rFonts w:asciiTheme="minorHAnsi" w:hAnsiTheme="minorHAnsi"/>
          <w:sz w:val="24"/>
        </w:rPr>
        <w:t>Bossenbroek</w:t>
      </w:r>
      <w:proofErr w:type="spellEnd"/>
      <w:r>
        <w:rPr>
          <w:rFonts w:asciiTheme="minorHAnsi" w:hAnsiTheme="minorHAnsi"/>
          <w:sz w:val="24"/>
        </w:rPr>
        <w:t xml:space="preserve"> et al., 2015; FAO et al., 2014; O</w:t>
      </w:r>
      <w:r>
        <w:rPr>
          <w:rFonts w:asciiTheme="minorHAnsi" w:hAnsiTheme="minorHAnsi"/>
        </w:rPr>
        <w:t>r</w:t>
      </w:r>
      <w:r>
        <w:rPr>
          <w:rFonts w:asciiTheme="minorHAnsi" w:hAnsiTheme="minorHAnsi"/>
          <w:sz w:val="24"/>
        </w:rPr>
        <w:t xml:space="preserve">ganización de las Naciones Unidas para el Desarrollo Industrial, 2011; GIZ, 2020; </w:t>
      </w:r>
      <w:proofErr w:type="spellStart"/>
      <w:r>
        <w:rPr>
          <w:rFonts w:asciiTheme="minorHAnsi" w:hAnsiTheme="minorHAnsi"/>
          <w:sz w:val="24"/>
        </w:rPr>
        <w:t>Yeboah</w:t>
      </w:r>
      <w:proofErr w:type="spellEnd"/>
      <w:r>
        <w:rPr>
          <w:rFonts w:asciiTheme="minorHAnsi" w:hAnsiTheme="minorHAnsi"/>
          <w:sz w:val="24"/>
        </w:rPr>
        <w:t xml:space="preserve"> y </w:t>
      </w:r>
      <w:proofErr w:type="spellStart"/>
      <w:r>
        <w:rPr>
          <w:rFonts w:asciiTheme="minorHAnsi" w:hAnsiTheme="minorHAnsi"/>
          <w:sz w:val="24"/>
        </w:rPr>
        <w:t>Jayne</w:t>
      </w:r>
      <w:proofErr w:type="spellEnd"/>
      <w:r>
        <w:rPr>
          <w:rFonts w:asciiTheme="minorHAnsi" w:hAnsiTheme="minorHAnsi"/>
          <w:sz w:val="24"/>
        </w:rPr>
        <w:t>, 2018).</w:t>
      </w:r>
    </w:p>
    <w:p w14:paraId="48A8C593" w14:textId="77777777" w:rsidR="00565591" w:rsidRPr="00565591" w:rsidRDefault="00565591" w:rsidP="00565591">
      <w:pPr>
        <w:pStyle w:val="NormalWeb"/>
        <w:shd w:val="clear" w:color="auto" w:fill="FFFFFF"/>
        <w:spacing w:before="0" w:beforeAutospacing="0" w:after="0" w:afterAutospacing="0"/>
        <w:ind w:firstLine="709"/>
        <w:contextualSpacing/>
        <w:jc w:val="both"/>
        <w:rPr>
          <w:rFonts w:asciiTheme="minorHAnsi" w:hAnsiTheme="minorHAnsi"/>
        </w:rPr>
      </w:pPr>
      <w:r>
        <w:rPr>
          <w:rFonts w:asciiTheme="minorHAnsi" w:hAnsiTheme="minorHAnsi"/>
          <w:shd w:val="clear" w:color="auto" w:fill="FFFFFF"/>
        </w:rPr>
        <w:t>La República Democrática del Congo (RDC) es el país más extenso del África subsahariana (2.345.000Km</w:t>
      </w:r>
      <w:r>
        <w:rPr>
          <w:rFonts w:asciiTheme="minorHAnsi" w:hAnsiTheme="minorHAnsi"/>
          <w:shd w:val="clear" w:color="auto" w:fill="FFFFFF"/>
          <w:vertAlign w:val="superscript"/>
        </w:rPr>
        <w:t>2</w:t>
      </w:r>
      <w:r>
        <w:rPr>
          <w:rFonts w:asciiTheme="minorHAnsi" w:hAnsiTheme="minorHAnsi"/>
          <w:shd w:val="clear" w:color="auto" w:fill="FFFFFF"/>
        </w:rPr>
        <w:t xml:space="preserve">) y el tercero en términos demográficos, con una población de casi 100 millones de habitantes.  el 80 % de los congoleños tiene menos de 35 años y el 36 % tiene entre 15 y 35 años. La RDC tiene una elevada tasa de crecimiento demográfico, cercana al 3% anual, como indican el Fondo Internacional de Desarrollo Agrícola (FIDA, 2020) y el Instituto Nacional de Estadística de la RDC (INS, 2020). El país tiene un gran potencial de producción agrícola, capaz de alimentar a casi 3.000 millones de personas al año, con más de 80 millones de hectáreas de tierra cultivable, incluidos 4 millones de hectáreas regables, y pastos naturales que pueden mantener hasta 40 millones de cabezas de ganado. La deplorable realidad es que la RDC no satisface las necesidades alimentarias básicas de su población, de la que 27 millones de personas sufren inseguridad alimentaria aguda. Además, el 72% de los hogares rurales viven en la pobreza extrema (Ministerio Nacional de Agricultura 2020; FAO, 2022). Se estima que las importaciones de alimentos ascienden a casi 2.000 millones de dólares, mientras que este dinero podría utilizarse para reactivar el sistema agroindustrial y luego la economía local (Banco Central del Congo, 2019; Banco Africano de Desarrollo, 2019). </w:t>
      </w:r>
      <w:r>
        <w:rPr>
          <w:rFonts w:asciiTheme="minorHAnsi" w:hAnsiTheme="minorHAnsi"/>
        </w:rPr>
        <w:t xml:space="preserve">Además de los enormes retos del desarrollo y la reducción de la pobreza en sus múltiples dimensiones, la RDC está luchando por establecer la paz en su región oriental y, más concretamente, en la región de Kivu, donde operan más de 122 grupos armados ilegales (Vogel et al., 2021). </w:t>
      </w:r>
      <w:r>
        <w:rPr>
          <w:rFonts w:asciiTheme="minorHAnsi" w:hAnsiTheme="minorHAnsi"/>
        </w:rPr>
        <w:lastRenderedPageBreak/>
        <w:t xml:space="preserve">La mayoría de los territorios del sur de Kivu se enfrentan a conflictos armados desde hace tres décadas. Muchos jóvenes congoleños, enfrentados a la pobreza extrema, en lugar de aprovechar el potencial de la agroindustria y las oportunidades del mercado alimentario, aceptan unirse a grupos armados ilegales poniendo en peligro sus vidas. Los jóvenes eligen este peligroso camino con la esperanza de lucrarse mediante acciones de pillaje y la explotación ilegal de recursos minerales. Otros jóvenes emprenden vías de éxodo rural con la esperanza de encontrar una vida próspera en las ciudades o emigran a otros países. También hay que tener en cuenta que la región de Kivu se ha urbanizado muy rápidamente en las últimas tres décadas debido al éxodo rural masivo, lo que ha provocado una creciente demanda de alimentos. Las oportunidades de los mercados agrícolas deben considerarse una palanca para reactivar la </w:t>
      </w:r>
      <w:proofErr w:type="spellStart"/>
      <w:r>
        <w:rPr>
          <w:rFonts w:asciiTheme="minorHAnsi" w:hAnsiTheme="minorHAnsi"/>
        </w:rPr>
        <w:t>agroempresa</w:t>
      </w:r>
      <w:proofErr w:type="spellEnd"/>
      <w:r>
        <w:rPr>
          <w:rFonts w:asciiTheme="minorHAnsi" w:hAnsiTheme="minorHAnsi"/>
        </w:rPr>
        <w:t>. Los testimonios recogidos en la zona de estudio indicaban, desgraciadamente, un importante desinterés de los jóvenes rurales hacia la agroindustria. El problema es saber cuál es la percepción de los jóvenes rurales respecto a la agroindustria en este contexto de posconflicto con un enorme potencial agroindustrial y oportunidades de mercado</w:t>
      </w:r>
    </w:p>
    <w:p w14:paraId="0DB065A8" w14:textId="77777777" w:rsidR="00565591" w:rsidRPr="00565591" w:rsidRDefault="00565591" w:rsidP="00565591">
      <w:pPr>
        <w:pStyle w:val="NormalWeb"/>
        <w:shd w:val="clear" w:color="auto" w:fill="FFFFFF"/>
        <w:spacing w:before="0" w:beforeAutospacing="0" w:after="0" w:afterAutospacing="0"/>
        <w:ind w:firstLine="709"/>
        <w:contextualSpacing/>
        <w:jc w:val="both"/>
        <w:rPr>
          <w:rFonts w:asciiTheme="minorHAnsi" w:hAnsiTheme="minorHAnsi"/>
        </w:rPr>
      </w:pPr>
      <w:r>
        <w:rPr>
          <w:rFonts w:asciiTheme="minorHAnsi" w:hAnsiTheme="minorHAnsi"/>
        </w:rPr>
        <w:t xml:space="preserve">En el marco de este estudio, la </w:t>
      </w:r>
      <w:r>
        <w:rPr>
          <w:rFonts w:asciiTheme="minorHAnsi" w:hAnsiTheme="minorHAnsi"/>
          <w:i/>
        </w:rPr>
        <w:t>percepción</w:t>
      </w:r>
      <w:r>
        <w:rPr>
          <w:rFonts w:asciiTheme="minorHAnsi" w:hAnsiTheme="minorHAnsi"/>
        </w:rPr>
        <w:t xml:space="preserve"> se refiere a la conciencia de objetos y acontecimientos a través de los sentidos. En cuanto a </w:t>
      </w:r>
      <w:proofErr w:type="spellStart"/>
      <w:r>
        <w:rPr>
          <w:rFonts w:asciiTheme="minorHAnsi" w:hAnsiTheme="minorHAnsi"/>
          <w:i/>
        </w:rPr>
        <w:t>agribusiness</w:t>
      </w:r>
      <w:proofErr w:type="spellEnd"/>
      <w:r>
        <w:rPr>
          <w:rFonts w:asciiTheme="minorHAnsi" w:hAnsiTheme="minorHAnsi"/>
        </w:rPr>
        <w:t xml:space="preserve"> consideramos la definición fundamental aportada por Davis (1955), quien consideraba el </w:t>
      </w:r>
      <w:proofErr w:type="spellStart"/>
      <w:r>
        <w:rPr>
          <w:rFonts w:asciiTheme="minorHAnsi" w:hAnsiTheme="minorHAnsi"/>
        </w:rPr>
        <w:t>agribusiness</w:t>
      </w:r>
      <w:proofErr w:type="spellEnd"/>
      <w:r>
        <w:rPr>
          <w:rFonts w:asciiTheme="minorHAnsi" w:hAnsiTheme="minorHAnsi"/>
        </w:rPr>
        <w:t xml:space="preserve"> como la suma total de todas las operaciones implicadas en la producción y distribución de alimentos y fibras. Van Fleet (2016) indicó recientemente que la agroindustria incluye todas las organizaciones, grandes y pequeñas, con ánimo de lucro que se dedican a la producción, distribución y comercialización de alimentos, fibras, productos forestales o biocombustibles, incluida la prestación de servicios (recogida de agua, gestión del oeste). No hemos encontrado ningún estudio que aborde las actitudes y la percepción de los jóvenes rurales hacia la cuestión de la agroindustria, especialmente en las zonas congoleñas en situación de posconflicto. Además, este estudio pretende complementar otros estudios centrados en las percepciones de los jóvenes hacia la agricultura realizados en otros países en desarrollo. Por ejemplo, los resultados del estudio realizado por </w:t>
      </w:r>
      <w:proofErr w:type="spellStart"/>
      <w:r>
        <w:rPr>
          <w:rFonts w:asciiTheme="minorHAnsi" w:hAnsiTheme="minorHAnsi"/>
        </w:rPr>
        <w:t>Vihari</w:t>
      </w:r>
      <w:proofErr w:type="spellEnd"/>
      <w:r>
        <w:rPr>
          <w:rFonts w:asciiTheme="minorHAnsi" w:hAnsiTheme="minorHAnsi"/>
        </w:rPr>
        <w:t xml:space="preserve"> et al. (2020) en India revelaron que la mayoría (63,33%) de los jóvenes rurales tenían un nivel de percepción medio, seguidos del resto con un nivel de percepción alto (20,0%) y bajo (16,0%) 67%). </w:t>
      </w:r>
      <w:proofErr w:type="spellStart"/>
      <w:r>
        <w:rPr>
          <w:rFonts w:asciiTheme="minorHAnsi" w:hAnsiTheme="minorHAnsi"/>
        </w:rPr>
        <w:t>Uttej</w:t>
      </w:r>
      <w:proofErr w:type="spellEnd"/>
      <w:r>
        <w:rPr>
          <w:rFonts w:asciiTheme="minorHAnsi" w:hAnsiTheme="minorHAnsi"/>
        </w:rPr>
        <w:t xml:space="preserve"> et al. (2020) indican que un tercio (34,2%) de los jóvenes tienen una actitud neutra hacia la agricultura. Le siguen una actitud moderadamente favorable (28,3%) y moderadamente desfavorable (18,4%) hacia la agricultura, mientras que sólo el 10,8% mostró una actitud muy favorable y el 8,3% muy desfavorable. </w:t>
      </w:r>
      <w:proofErr w:type="spellStart"/>
      <w:r>
        <w:rPr>
          <w:rFonts w:asciiTheme="minorHAnsi" w:hAnsiTheme="minorHAnsi"/>
        </w:rPr>
        <w:t>Sarju</w:t>
      </w:r>
      <w:proofErr w:type="spellEnd"/>
      <w:r>
        <w:rPr>
          <w:rFonts w:asciiTheme="minorHAnsi" w:hAnsiTheme="minorHAnsi"/>
        </w:rPr>
        <w:t xml:space="preserve"> et al. (2015) descubrieron que el 100% de los jóvenes dedicados a la agricultura percibían que los ingresos agrícolas no cubrían sus necesidades básicas y alrededor del 71,43% de ellos estaban de acuerdo en dejar la agricultura. </w:t>
      </w:r>
      <w:proofErr w:type="spellStart"/>
      <w:r>
        <w:rPr>
          <w:rFonts w:asciiTheme="minorHAnsi" w:hAnsiTheme="minorHAnsi"/>
        </w:rPr>
        <w:t>Wachenheim</w:t>
      </w:r>
      <w:proofErr w:type="spellEnd"/>
      <w:r>
        <w:rPr>
          <w:rFonts w:asciiTheme="minorHAnsi" w:hAnsiTheme="minorHAnsi"/>
        </w:rPr>
        <w:t xml:space="preserve"> y </w:t>
      </w:r>
      <w:proofErr w:type="spellStart"/>
      <w:r>
        <w:rPr>
          <w:rFonts w:asciiTheme="minorHAnsi" w:hAnsiTheme="minorHAnsi"/>
        </w:rPr>
        <w:t>Rathge</w:t>
      </w:r>
      <w:proofErr w:type="spellEnd"/>
      <w:r>
        <w:rPr>
          <w:rFonts w:asciiTheme="minorHAnsi" w:hAnsiTheme="minorHAnsi"/>
        </w:rPr>
        <w:t xml:space="preserve"> (2000) muestran que es probable que la distancia social y física del entorno rural, las emociones, la memoria, la experiencia, los conocimientos, las características socioeconómicas, las actitudes y los atributos temporales de un individuo influyan en las percepciones de los jóvenes hacia la agricultura como carrera profesional. Aunque la agricultura como ocupación está plagada de percepciones erróneas y de falta de información y concienciación (</w:t>
      </w:r>
      <w:proofErr w:type="spellStart"/>
      <w:r>
        <w:rPr>
          <w:rFonts w:asciiTheme="minorHAnsi" w:hAnsiTheme="minorHAnsi"/>
        </w:rPr>
        <w:t>Kruijssen</w:t>
      </w:r>
      <w:proofErr w:type="spellEnd"/>
      <w:r>
        <w:rPr>
          <w:rFonts w:asciiTheme="minorHAnsi" w:hAnsiTheme="minorHAnsi"/>
        </w:rPr>
        <w:t xml:space="preserve">, 2009). Además, </w:t>
      </w:r>
      <w:proofErr w:type="spellStart"/>
      <w:r>
        <w:rPr>
          <w:rFonts w:asciiTheme="minorHAnsi" w:hAnsiTheme="minorHAnsi"/>
        </w:rPr>
        <w:t>Sanginga</w:t>
      </w:r>
      <w:proofErr w:type="spellEnd"/>
      <w:r>
        <w:rPr>
          <w:rFonts w:asciiTheme="minorHAnsi" w:hAnsiTheme="minorHAnsi"/>
        </w:rPr>
        <w:t xml:space="preserve"> (2015) indica que los jóvenes africanos perciben la agricultura como una labor intensiva, con condiciones de trabajo difíciles y altos riesgos. Obsérvese también el estudio realizado por Allen et al. (2016) en Nigeria, Ruanda y Tanzania que confirma que la agricultura es ampliamente percibida por los jóvenes como una actividad agrícola tradicional poco atractiva y de mano de obra intensiva que genera poco o ningún beneficio. A pesar de todas esas pruebas, el estudio realizado por </w:t>
      </w:r>
      <w:proofErr w:type="spellStart"/>
      <w:r>
        <w:rPr>
          <w:rFonts w:asciiTheme="minorHAnsi" w:hAnsiTheme="minorHAnsi"/>
        </w:rPr>
        <w:t>Sumberg</w:t>
      </w:r>
      <w:proofErr w:type="spellEnd"/>
      <w:r>
        <w:rPr>
          <w:rFonts w:asciiTheme="minorHAnsi" w:hAnsiTheme="minorHAnsi"/>
        </w:rPr>
        <w:t xml:space="preserve"> et al. (2021) en países africanos seleccionados revela que la agricultura ocupa un lugar en el futuro imaginado de algunos jóvenes rurales.</w:t>
      </w:r>
    </w:p>
    <w:p w14:paraId="7EA3581E" w14:textId="77777777" w:rsidR="00565591" w:rsidRPr="00565591" w:rsidRDefault="00565591" w:rsidP="00565591">
      <w:pPr>
        <w:pStyle w:val="Numeracion"/>
        <w:tabs>
          <w:tab w:val="clear" w:pos="720"/>
        </w:tabs>
        <w:ind w:left="340" w:hanging="340"/>
        <w:jc w:val="center"/>
        <w:rPr>
          <w:rFonts w:asciiTheme="minorHAnsi" w:hAnsiTheme="minorHAnsi"/>
          <w:sz w:val="28"/>
          <w:szCs w:val="28"/>
        </w:rPr>
      </w:pPr>
      <w:r>
        <w:rPr>
          <w:rFonts w:asciiTheme="minorHAnsi" w:hAnsiTheme="minorHAnsi"/>
          <w:sz w:val="28"/>
        </w:rPr>
        <w:lastRenderedPageBreak/>
        <w:t>Método</w:t>
      </w:r>
    </w:p>
    <w:p w14:paraId="5494A764" w14:textId="77777777" w:rsidR="00565591" w:rsidRPr="00565591" w:rsidRDefault="00565591" w:rsidP="00565591">
      <w:pPr>
        <w:rPr>
          <w:rFonts w:asciiTheme="minorHAnsi" w:hAnsiTheme="minorHAnsi"/>
        </w:rPr>
      </w:pPr>
    </w:p>
    <w:p w14:paraId="5B78765A" w14:textId="77777777" w:rsidR="00565591" w:rsidRPr="00565591" w:rsidRDefault="00565591" w:rsidP="00565591">
      <w:pPr>
        <w:shd w:val="clear" w:color="auto" w:fill="FFFFFF"/>
        <w:ind w:left="709" w:hanging="709"/>
        <w:textAlignment w:val="baseline"/>
        <w:rPr>
          <w:rFonts w:asciiTheme="minorHAnsi" w:hAnsiTheme="minorHAnsi"/>
          <w:b/>
          <w:i/>
          <w:iCs/>
          <w:sz w:val="24"/>
          <w:bdr w:val="none" w:sz="0" w:space="0" w:color="auto" w:frame="1"/>
        </w:rPr>
      </w:pPr>
      <w:r>
        <w:rPr>
          <w:rFonts w:asciiTheme="minorHAnsi" w:hAnsiTheme="minorHAnsi"/>
          <w:b/>
          <w:i/>
          <w:sz w:val="24"/>
          <w:bdr w:val="none" w:sz="0" w:space="0" w:color="auto" w:frame="1"/>
        </w:rPr>
        <w:t>Diseño de la investigación</w:t>
      </w:r>
    </w:p>
    <w:p w14:paraId="3761337C" w14:textId="0B2FFBD2" w:rsidR="00565591" w:rsidRPr="00565591" w:rsidRDefault="00565591" w:rsidP="00565591">
      <w:pPr>
        <w:pStyle w:val="NormalWeb"/>
        <w:shd w:val="clear" w:color="auto" w:fill="FFFFFF"/>
        <w:spacing w:before="0" w:beforeAutospacing="0" w:after="0" w:afterAutospacing="0"/>
        <w:contextualSpacing/>
        <w:jc w:val="both"/>
        <w:rPr>
          <w:rFonts w:asciiTheme="minorHAnsi" w:hAnsiTheme="minorHAnsi"/>
        </w:rPr>
      </w:pPr>
      <w:r>
        <w:rPr>
          <w:rFonts w:asciiTheme="minorHAnsi" w:hAnsiTheme="minorHAnsi"/>
        </w:rPr>
        <w:t xml:space="preserve">La agricultura, con su papel en el desarrollo económico y la reducción de la pobreza extrema, ocupa los debates científicos desde hace varios años. La comprensión de las actitudes de los actores que operan en los sistemas agrícolas requiere la movilización de conocimientos procedentes de varios campos científicos, ya que el desarrollo agrícola es inseparable de otros campos científicos como la economía, las ciencias sociales, las ciencias de la gestión, la psicología, las ciencias de las decisiones, etc. El principal objetivo de esta investigación era analizar las actitudes y percepciones de los jóvenes rurales hacia la agroindustria como profesión en Kivu del Sur, una zona en situación de posconflicto. Para analizar adecuadamente la complejidad que rodea al problema abordado en este estudio, </w:t>
      </w:r>
      <w:r w:rsidR="0065646C">
        <w:rPr>
          <w:rFonts w:asciiTheme="minorHAnsi" w:hAnsiTheme="minorHAnsi"/>
        </w:rPr>
        <w:t>utilizamos el enfoque sistémico</w:t>
      </w:r>
      <w:r>
        <w:rPr>
          <w:rFonts w:asciiTheme="minorHAnsi" w:hAnsiTheme="minorHAnsi"/>
        </w:rPr>
        <w:t xml:space="preserve">. En el sector agrícola, el análisis sistémico se adopta como enfoque global debido a la complejidad de la agricultura a través del prisma de sus interacciones con su entorno social, económico, ecológico y político (CIRAD, 1994; </w:t>
      </w:r>
      <w:proofErr w:type="spellStart"/>
      <w:r>
        <w:rPr>
          <w:rFonts w:asciiTheme="minorHAnsi" w:hAnsiTheme="minorHAnsi"/>
        </w:rPr>
        <w:t>Donnadieur</w:t>
      </w:r>
      <w:proofErr w:type="spellEnd"/>
      <w:r>
        <w:rPr>
          <w:rFonts w:asciiTheme="minorHAnsi" w:hAnsiTheme="minorHAnsi"/>
        </w:rPr>
        <w:t xml:space="preserve"> et al., 2003; </w:t>
      </w:r>
      <w:proofErr w:type="spellStart"/>
      <w:r>
        <w:rPr>
          <w:rFonts w:asciiTheme="minorHAnsi" w:hAnsiTheme="minorHAnsi"/>
        </w:rPr>
        <w:t>Donnadieu</w:t>
      </w:r>
      <w:proofErr w:type="spellEnd"/>
      <w:r>
        <w:rPr>
          <w:rFonts w:asciiTheme="minorHAnsi" w:hAnsiTheme="minorHAnsi"/>
        </w:rPr>
        <w:t xml:space="preserve"> &amp; </w:t>
      </w:r>
      <w:proofErr w:type="spellStart"/>
      <w:r>
        <w:rPr>
          <w:rFonts w:asciiTheme="minorHAnsi" w:hAnsiTheme="minorHAnsi"/>
        </w:rPr>
        <w:t>Karsky</w:t>
      </w:r>
      <w:proofErr w:type="spellEnd"/>
      <w:r>
        <w:rPr>
          <w:rFonts w:asciiTheme="minorHAnsi" w:hAnsiTheme="minorHAnsi"/>
        </w:rPr>
        <w:t xml:space="preserve">, 2002; </w:t>
      </w:r>
      <w:proofErr w:type="spellStart"/>
      <w:r>
        <w:rPr>
          <w:rFonts w:asciiTheme="minorHAnsi" w:hAnsiTheme="minorHAnsi"/>
        </w:rPr>
        <w:t>Eloumi</w:t>
      </w:r>
      <w:proofErr w:type="spellEnd"/>
      <w:r>
        <w:rPr>
          <w:rFonts w:asciiTheme="minorHAnsi" w:hAnsiTheme="minorHAnsi"/>
        </w:rPr>
        <w:t xml:space="preserve">, 1994; </w:t>
      </w:r>
      <w:proofErr w:type="spellStart"/>
      <w:r>
        <w:rPr>
          <w:rFonts w:asciiTheme="minorHAnsi" w:hAnsiTheme="minorHAnsi"/>
        </w:rPr>
        <w:t>Ferraton</w:t>
      </w:r>
      <w:proofErr w:type="spellEnd"/>
      <w:r>
        <w:rPr>
          <w:rFonts w:asciiTheme="minorHAnsi" w:hAnsiTheme="minorHAnsi"/>
        </w:rPr>
        <w:t xml:space="preserve"> &amp; </w:t>
      </w:r>
      <w:proofErr w:type="spellStart"/>
      <w:r>
        <w:rPr>
          <w:rFonts w:asciiTheme="minorHAnsi" w:hAnsiTheme="minorHAnsi"/>
        </w:rPr>
        <w:t>Touzard</w:t>
      </w:r>
      <w:proofErr w:type="spellEnd"/>
      <w:r>
        <w:rPr>
          <w:rFonts w:asciiTheme="minorHAnsi" w:hAnsiTheme="minorHAnsi"/>
        </w:rPr>
        <w:t xml:space="preserve">, 2009; Le </w:t>
      </w:r>
      <w:proofErr w:type="spellStart"/>
      <w:r>
        <w:rPr>
          <w:rFonts w:asciiTheme="minorHAnsi" w:hAnsiTheme="minorHAnsi"/>
        </w:rPr>
        <w:t>Moigne</w:t>
      </w:r>
      <w:proofErr w:type="spellEnd"/>
      <w:r>
        <w:rPr>
          <w:rFonts w:asciiTheme="minorHAnsi" w:hAnsiTheme="minorHAnsi"/>
        </w:rPr>
        <w:t xml:space="preserve">, 1990, 1995; </w:t>
      </w:r>
      <w:proofErr w:type="spellStart"/>
      <w:r>
        <w:rPr>
          <w:rFonts w:asciiTheme="minorHAnsi" w:hAnsiTheme="minorHAnsi"/>
        </w:rPr>
        <w:t>Minani</w:t>
      </w:r>
      <w:proofErr w:type="spellEnd"/>
      <w:r>
        <w:rPr>
          <w:rFonts w:asciiTheme="minorHAnsi" w:hAnsiTheme="minorHAnsi"/>
        </w:rPr>
        <w:t xml:space="preserve">, 2014). El enfoque sistémico es una importante herramienta de análisis de los sistemas agrarios porque permite comprender el entorno y la dinámica de las explotaciones, las prácticas, las limitaciones y el nivel de compromiso de los actores. </w:t>
      </w:r>
      <w:proofErr w:type="spellStart"/>
      <w:r>
        <w:rPr>
          <w:rFonts w:asciiTheme="minorHAnsi" w:hAnsiTheme="minorHAnsi"/>
        </w:rPr>
        <w:t>Zipin</w:t>
      </w:r>
      <w:proofErr w:type="spellEnd"/>
      <w:r>
        <w:rPr>
          <w:rFonts w:asciiTheme="minorHAnsi" w:hAnsiTheme="minorHAnsi"/>
        </w:rPr>
        <w:t xml:space="preserve"> et al. (2015) indicaron que las aspiraciones individuales de los jóvenes se producen a través de lógicas utilizadas, disposiciones encarnadas que se manifiestan dentro de las posibilidades o limitaciones de determinadas posiciones </w:t>
      </w:r>
      <w:proofErr w:type="spellStart"/>
      <w:r>
        <w:rPr>
          <w:rFonts w:asciiTheme="minorHAnsi" w:hAnsiTheme="minorHAnsi"/>
        </w:rPr>
        <w:t>socioestructurales</w:t>
      </w:r>
      <w:proofErr w:type="spellEnd"/>
      <w:r>
        <w:rPr>
          <w:rFonts w:asciiTheme="minorHAnsi" w:hAnsiTheme="minorHAnsi"/>
        </w:rPr>
        <w:t xml:space="preserve"> como el género, la edad, la clase social, la familia, la casta y la etnia. Obsérvese que la propia educación formal, tal y como se practica en la actualidad, a menudo parece contribuir de forma importante a la construcción de aspiraciones para un futuro profesional no agrícola (Katz, 2004). Entender cómo cambian las interacciones de los jóvenes rurales con la agricultura y los sistemas alimentarios a lo largo del tiempo y en las distintas regiones requiere, por tanto, una visión sistémica y un método hipotético-deductivo (</w:t>
      </w:r>
      <w:proofErr w:type="spellStart"/>
      <w:r>
        <w:rPr>
          <w:rFonts w:asciiTheme="minorHAnsi" w:hAnsiTheme="minorHAnsi"/>
        </w:rPr>
        <w:t>Sumberg</w:t>
      </w:r>
      <w:proofErr w:type="spellEnd"/>
      <w:r>
        <w:rPr>
          <w:rFonts w:asciiTheme="minorHAnsi" w:hAnsiTheme="minorHAnsi"/>
        </w:rPr>
        <w:t xml:space="preserve"> et al., 2012).</w:t>
      </w:r>
    </w:p>
    <w:p w14:paraId="3C8D7ABA" w14:textId="77777777" w:rsidR="00565591" w:rsidRPr="00565591" w:rsidRDefault="00565591" w:rsidP="00565591">
      <w:pPr>
        <w:pStyle w:val="NormalWeb"/>
        <w:shd w:val="clear" w:color="auto" w:fill="FFFFFF"/>
        <w:spacing w:before="0" w:beforeAutospacing="0" w:after="0" w:afterAutospacing="0"/>
        <w:contextualSpacing/>
        <w:jc w:val="both"/>
        <w:rPr>
          <w:rFonts w:asciiTheme="minorHAnsi" w:hAnsiTheme="minorHAnsi"/>
          <w:bCs/>
        </w:rPr>
      </w:pPr>
    </w:p>
    <w:p w14:paraId="2700FF41" w14:textId="77777777" w:rsidR="00565591" w:rsidRPr="00565591" w:rsidRDefault="00565591" w:rsidP="00565591">
      <w:pPr>
        <w:pStyle w:val="NormalWeb"/>
        <w:shd w:val="clear" w:color="auto" w:fill="FFFFFF"/>
        <w:spacing w:before="0" w:beforeAutospacing="0" w:after="0" w:afterAutospacing="0"/>
        <w:contextualSpacing/>
        <w:jc w:val="both"/>
        <w:rPr>
          <w:rFonts w:asciiTheme="minorHAnsi" w:hAnsiTheme="minorHAnsi"/>
          <w:b/>
          <w:bCs/>
          <w:i/>
          <w:iCs/>
        </w:rPr>
      </w:pPr>
      <w:r>
        <w:rPr>
          <w:rFonts w:asciiTheme="minorHAnsi" w:hAnsiTheme="minorHAnsi"/>
          <w:b/>
          <w:i/>
        </w:rPr>
        <w:t>Población y muestreo</w:t>
      </w:r>
    </w:p>
    <w:p w14:paraId="6C4D26F8" w14:textId="06E2FAAA" w:rsidR="00565591" w:rsidRDefault="00565591" w:rsidP="00565591">
      <w:pPr>
        <w:pStyle w:val="NormalWeb"/>
        <w:shd w:val="clear" w:color="auto" w:fill="FFFFFF"/>
        <w:spacing w:before="0" w:beforeAutospacing="0" w:after="0" w:afterAutospacing="0"/>
        <w:ind w:firstLine="709"/>
        <w:contextualSpacing/>
        <w:jc w:val="both"/>
        <w:rPr>
          <w:rFonts w:asciiTheme="minorHAnsi" w:hAnsiTheme="minorHAnsi"/>
        </w:rPr>
      </w:pPr>
      <w:r>
        <w:rPr>
          <w:rFonts w:asciiTheme="minorHAnsi" w:hAnsiTheme="minorHAnsi"/>
        </w:rPr>
        <w:t>Consideramos jóvenes a todas las personas de entre 15 y 35 años, tal y como se define en la Carta de la Unión Africana (UA, 2006) y en los textos legales vigentes en la República Democrática del Congo (INS, 2020). Teniendo en cuenta el objetivo de este estudio y la naturaleza de la información necesaria para alcanzarlo, se utilizó el muestreo de conveniencia y, más concretamente, el método de cuotas para seleccionar a las personas que respondieron a la encuesta. Esta elección se justifica por la insuficiencia (o incluso la falta) de estadísticas oficiales fiables necesarias para constituir la base de muestreo, así como por los recursos muy limitados asignados a este estudio. De hecho, no se dispone de información oficial sobre el número total exacto de jóvenes rurales en la provincia de Kivu del Sur. Magnani (2001) muestra la importancia del método de muestreo por cuotas para reducir el coste de la recogida de datos sobre una población, especialmente cuando su tamaño no se conoce con exactitud. La Agencia Estadística Canadiense (</w:t>
      </w:r>
      <w:proofErr w:type="spellStart"/>
      <w:r>
        <w:rPr>
          <w:rFonts w:asciiTheme="minorHAnsi" w:hAnsiTheme="minorHAnsi"/>
        </w:rPr>
        <w:t>Statistics</w:t>
      </w:r>
      <w:proofErr w:type="spellEnd"/>
      <w:r>
        <w:rPr>
          <w:rFonts w:asciiTheme="minorHAnsi" w:hAnsiTheme="minorHAnsi"/>
        </w:rPr>
        <w:t xml:space="preserve"> </w:t>
      </w:r>
      <w:proofErr w:type="spellStart"/>
      <w:r>
        <w:rPr>
          <w:rFonts w:asciiTheme="minorHAnsi" w:hAnsiTheme="minorHAnsi"/>
        </w:rPr>
        <w:t>Canada</w:t>
      </w:r>
      <w:proofErr w:type="spellEnd"/>
      <w:r>
        <w:rPr>
          <w:rFonts w:asciiTheme="minorHAnsi" w:hAnsiTheme="minorHAnsi"/>
        </w:rPr>
        <w:t>, 2021) también fomenta el uso del método de muestreo por cuotas afirmando que puede ser la única opción adecuada en muchos casos en los que no existe un marco de muestreo adecuado para la población estudiada. El muestreo de este estudio se realizó a distintos niveles para determinar la cuota que debía cubrirse en cada lugar. De hecho, tras haber seleccionado los tres territorios rurales objetivo (</w:t>
      </w:r>
      <w:proofErr w:type="spellStart"/>
      <w:r>
        <w:rPr>
          <w:rFonts w:asciiTheme="minorHAnsi" w:hAnsiTheme="minorHAnsi"/>
        </w:rPr>
        <w:t>Kabare</w:t>
      </w:r>
      <w:proofErr w:type="spellEnd"/>
      <w:r>
        <w:rPr>
          <w:rFonts w:asciiTheme="minorHAnsi" w:hAnsiTheme="minorHAnsi"/>
        </w:rPr>
        <w:t xml:space="preserve">, </w:t>
      </w:r>
      <w:proofErr w:type="spellStart"/>
      <w:r>
        <w:rPr>
          <w:rFonts w:asciiTheme="minorHAnsi" w:hAnsiTheme="minorHAnsi"/>
        </w:rPr>
        <w:t>Walungu</w:t>
      </w:r>
      <w:proofErr w:type="spellEnd"/>
      <w:r>
        <w:rPr>
          <w:rFonts w:asciiTheme="minorHAnsi" w:hAnsiTheme="minorHAnsi"/>
        </w:rPr>
        <w:t xml:space="preserve"> y </w:t>
      </w:r>
      <w:proofErr w:type="spellStart"/>
      <w:r>
        <w:rPr>
          <w:rFonts w:asciiTheme="minorHAnsi" w:hAnsiTheme="minorHAnsi"/>
        </w:rPr>
        <w:t>Uvira</w:t>
      </w:r>
      <w:proofErr w:type="spellEnd"/>
      <w:r>
        <w:rPr>
          <w:rFonts w:asciiTheme="minorHAnsi" w:hAnsiTheme="minorHAnsi"/>
        </w:rPr>
        <w:t xml:space="preserve">), se eligieron en cada territorio las zonas consideradas con mayor potencial agrícola, con el apoyo de expertos locales y de nuestra experiencia archivada en </w:t>
      </w:r>
      <w:r>
        <w:rPr>
          <w:rFonts w:asciiTheme="minorHAnsi" w:hAnsiTheme="minorHAnsi"/>
        </w:rPr>
        <w:lastRenderedPageBreak/>
        <w:t xml:space="preserve">la provincia de Kivu del Sur. En total se eligieron ocho lugares de encuesta, a saber: </w:t>
      </w:r>
      <w:proofErr w:type="spellStart"/>
      <w:r>
        <w:rPr>
          <w:rFonts w:asciiTheme="minorHAnsi" w:hAnsiTheme="minorHAnsi"/>
        </w:rPr>
        <w:t>Katana</w:t>
      </w:r>
      <w:proofErr w:type="spellEnd"/>
      <w:r>
        <w:rPr>
          <w:rFonts w:asciiTheme="minorHAnsi" w:hAnsiTheme="minorHAnsi"/>
        </w:rPr>
        <w:t xml:space="preserve">, </w:t>
      </w:r>
      <w:proofErr w:type="spellStart"/>
      <w:r>
        <w:rPr>
          <w:rFonts w:asciiTheme="minorHAnsi" w:hAnsiTheme="minorHAnsi"/>
        </w:rPr>
        <w:t>Kavumu</w:t>
      </w:r>
      <w:proofErr w:type="spellEnd"/>
      <w:r>
        <w:rPr>
          <w:rFonts w:asciiTheme="minorHAnsi" w:hAnsiTheme="minorHAnsi"/>
        </w:rPr>
        <w:t xml:space="preserve"> y </w:t>
      </w:r>
      <w:proofErr w:type="spellStart"/>
      <w:r>
        <w:rPr>
          <w:rFonts w:asciiTheme="minorHAnsi" w:hAnsiTheme="minorHAnsi"/>
        </w:rPr>
        <w:t>Mudaka</w:t>
      </w:r>
      <w:proofErr w:type="spellEnd"/>
      <w:r>
        <w:rPr>
          <w:rFonts w:asciiTheme="minorHAnsi" w:hAnsiTheme="minorHAnsi"/>
        </w:rPr>
        <w:t xml:space="preserve"> en el territorio de </w:t>
      </w:r>
      <w:proofErr w:type="spellStart"/>
      <w:r>
        <w:rPr>
          <w:rFonts w:asciiTheme="minorHAnsi" w:hAnsiTheme="minorHAnsi"/>
        </w:rPr>
        <w:t>Kabare</w:t>
      </w:r>
      <w:proofErr w:type="spellEnd"/>
      <w:r>
        <w:rPr>
          <w:rFonts w:asciiTheme="minorHAnsi" w:hAnsiTheme="minorHAnsi"/>
        </w:rPr>
        <w:t xml:space="preserve">, </w:t>
      </w:r>
      <w:proofErr w:type="spellStart"/>
      <w:r>
        <w:rPr>
          <w:rFonts w:asciiTheme="minorHAnsi" w:hAnsiTheme="minorHAnsi"/>
        </w:rPr>
        <w:t>Nyangezi</w:t>
      </w:r>
      <w:proofErr w:type="spellEnd"/>
      <w:r>
        <w:rPr>
          <w:rFonts w:asciiTheme="minorHAnsi" w:hAnsiTheme="minorHAnsi"/>
        </w:rPr>
        <w:t xml:space="preserve"> y </w:t>
      </w:r>
      <w:proofErr w:type="spellStart"/>
      <w:r>
        <w:rPr>
          <w:rFonts w:asciiTheme="minorHAnsi" w:hAnsiTheme="minorHAnsi"/>
        </w:rPr>
        <w:t>Kamanyola</w:t>
      </w:r>
      <w:proofErr w:type="spellEnd"/>
      <w:r>
        <w:rPr>
          <w:rFonts w:asciiTheme="minorHAnsi" w:hAnsiTheme="minorHAnsi"/>
        </w:rPr>
        <w:t xml:space="preserve"> en </w:t>
      </w:r>
      <w:proofErr w:type="spellStart"/>
      <w:r>
        <w:rPr>
          <w:rFonts w:asciiTheme="minorHAnsi" w:hAnsiTheme="minorHAnsi"/>
        </w:rPr>
        <w:t>Walungu</w:t>
      </w:r>
      <w:proofErr w:type="spellEnd"/>
      <w:r>
        <w:rPr>
          <w:rFonts w:asciiTheme="minorHAnsi" w:hAnsiTheme="minorHAnsi"/>
        </w:rPr>
        <w:t xml:space="preserve">, así como </w:t>
      </w:r>
      <w:proofErr w:type="spellStart"/>
      <w:r>
        <w:rPr>
          <w:rFonts w:asciiTheme="minorHAnsi" w:hAnsiTheme="minorHAnsi"/>
        </w:rPr>
        <w:t>Sange</w:t>
      </w:r>
      <w:proofErr w:type="spellEnd"/>
      <w:r>
        <w:rPr>
          <w:rFonts w:asciiTheme="minorHAnsi" w:hAnsiTheme="minorHAnsi"/>
        </w:rPr>
        <w:t xml:space="preserve">, </w:t>
      </w:r>
      <w:proofErr w:type="spellStart"/>
      <w:r>
        <w:rPr>
          <w:rFonts w:asciiTheme="minorHAnsi" w:hAnsiTheme="minorHAnsi"/>
        </w:rPr>
        <w:t>Luberizi</w:t>
      </w:r>
      <w:proofErr w:type="spellEnd"/>
      <w:r>
        <w:rPr>
          <w:rFonts w:asciiTheme="minorHAnsi" w:hAnsiTheme="minorHAnsi"/>
        </w:rPr>
        <w:t xml:space="preserve"> y </w:t>
      </w:r>
      <w:proofErr w:type="spellStart"/>
      <w:r>
        <w:rPr>
          <w:rFonts w:asciiTheme="minorHAnsi" w:hAnsiTheme="minorHAnsi"/>
        </w:rPr>
        <w:t>Luvungi</w:t>
      </w:r>
      <w:proofErr w:type="spellEnd"/>
      <w:r>
        <w:rPr>
          <w:rFonts w:asciiTheme="minorHAnsi" w:hAnsiTheme="minorHAnsi"/>
        </w:rPr>
        <w:t xml:space="preserve"> en </w:t>
      </w:r>
      <w:proofErr w:type="spellStart"/>
      <w:r>
        <w:rPr>
          <w:rFonts w:asciiTheme="minorHAnsi" w:hAnsiTheme="minorHAnsi"/>
        </w:rPr>
        <w:t>Uvira</w:t>
      </w:r>
      <w:proofErr w:type="spellEnd"/>
      <w:r>
        <w:rPr>
          <w:rFonts w:asciiTheme="minorHAnsi" w:hAnsiTheme="minorHAnsi"/>
        </w:rPr>
        <w:t xml:space="preserve"> (véase la figura 1).</w:t>
      </w:r>
    </w:p>
    <w:p w14:paraId="515433D9" w14:textId="77777777" w:rsidR="00A407E5" w:rsidRDefault="00A407E5" w:rsidP="006F1472">
      <w:pPr>
        <w:pStyle w:val="NormalWeb"/>
        <w:shd w:val="clear" w:color="auto" w:fill="FFFFFF"/>
        <w:spacing w:before="0" w:beforeAutospacing="0" w:after="0" w:afterAutospacing="0"/>
        <w:contextualSpacing/>
        <w:jc w:val="both"/>
        <w:rPr>
          <w:rFonts w:asciiTheme="minorHAnsi" w:hAnsiTheme="minorHAnsi"/>
        </w:rPr>
      </w:pPr>
    </w:p>
    <w:p w14:paraId="223C13DD" w14:textId="77777777" w:rsidR="00565591" w:rsidRPr="00565591" w:rsidRDefault="00565591" w:rsidP="00565591">
      <w:pPr>
        <w:pStyle w:val="NormalWeb"/>
        <w:shd w:val="clear" w:color="auto" w:fill="FFFFFF"/>
        <w:spacing w:before="0" w:beforeAutospacing="0" w:after="0" w:afterAutospacing="0"/>
        <w:contextualSpacing/>
        <w:jc w:val="both"/>
        <w:rPr>
          <w:b/>
        </w:rPr>
      </w:pPr>
      <w:r>
        <w:rPr>
          <w:b/>
        </w:rPr>
        <w:t>Figura 1</w:t>
      </w:r>
    </w:p>
    <w:p w14:paraId="3CE37C14" w14:textId="0024E399" w:rsidR="00565591" w:rsidRPr="00565591" w:rsidRDefault="00565591" w:rsidP="00565591">
      <w:pPr>
        <w:pStyle w:val="NormalWeb"/>
        <w:shd w:val="clear" w:color="auto" w:fill="FFFFFF"/>
        <w:spacing w:before="0" w:beforeAutospacing="0" w:after="0" w:afterAutospacing="0"/>
        <w:contextualSpacing/>
        <w:jc w:val="both"/>
        <w:rPr>
          <w:bCs/>
          <w:i/>
          <w:iCs/>
        </w:rPr>
      </w:pPr>
      <w:r>
        <w:rPr>
          <w:i/>
        </w:rPr>
        <w:t xml:space="preserve">Mapa geográfico de la zona de estudio  </w:t>
      </w:r>
    </w:p>
    <w:p w14:paraId="4098B1A2" w14:textId="77777777" w:rsidR="00565591" w:rsidRPr="00565591" w:rsidRDefault="00565591" w:rsidP="00565591">
      <w:pPr>
        <w:pStyle w:val="NormalWeb"/>
        <w:shd w:val="clear" w:color="auto" w:fill="FFFFFF"/>
        <w:spacing w:before="0" w:beforeAutospacing="0" w:after="0" w:afterAutospacing="0"/>
        <w:ind w:firstLine="709"/>
        <w:contextualSpacing/>
        <w:jc w:val="both"/>
        <w:rPr>
          <w:rFonts w:asciiTheme="minorHAnsi" w:hAnsiTheme="minorHAnsi"/>
        </w:rPr>
      </w:pPr>
    </w:p>
    <w:p w14:paraId="66DCE76F" w14:textId="77777777" w:rsidR="00565591" w:rsidRPr="00565591" w:rsidRDefault="00565591" w:rsidP="006F1472">
      <w:pPr>
        <w:pStyle w:val="NormalWeb"/>
        <w:shd w:val="clear" w:color="auto" w:fill="FFFFFF"/>
        <w:spacing w:before="0" w:beforeAutospacing="0" w:after="0" w:afterAutospacing="0"/>
        <w:contextualSpacing/>
        <w:jc w:val="center"/>
        <w:rPr>
          <w:rFonts w:asciiTheme="minorHAnsi" w:hAnsiTheme="minorHAnsi"/>
          <w:b/>
          <w:sz w:val="20"/>
          <w:szCs w:val="20"/>
        </w:rPr>
      </w:pPr>
      <w:r>
        <w:rPr>
          <w:rFonts w:asciiTheme="minorHAnsi" w:hAnsiTheme="minorHAnsi"/>
          <w:noProof/>
          <w:lang w:val="es-MX" w:eastAsia="es-MX"/>
        </w:rPr>
        <w:drawing>
          <wp:inline distT="0" distB="0" distL="0" distR="0" wp14:anchorId="785C045D" wp14:editId="4D971D57">
            <wp:extent cx="4134661" cy="5350635"/>
            <wp:effectExtent l="12700" t="12700" r="18415" b="8890"/>
            <wp:docPr id="697" name="Image 697" descr="C:\Users\hp\Desktop\Sites_enque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Sites_enquete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53975" cy="5375629"/>
                    </a:xfrm>
                    <a:prstGeom prst="rect">
                      <a:avLst/>
                    </a:prstGeom>
                    <a:noFill/>
                    <a:ln>
                      <a:solidFill>
                        <a:schemeClr val="accent1"/>
                      </a:solidFill>
                    </a:ln>
                  </pic:spPr>
                </pic:pic>
              </a:graphicData>
            </a:graphic>
          </wp:inline>
        </w:drawing>
      </w:r>
    </w:p>
    <w:p w14:paraId="1E459CA5" w14:textId="77777777" w:rsidR="00565591" w:rsidRPr="00565591" w:rsidRDefault="00565591" w:rsidP="00565591">
      <w:pPr>
        <w:pStyle w:val="NormalWeb"/>
        <w:shd w:val="clear" w:color="auto" w:fill="FFFFFF"/>
        <w:spacing w:before="0" w:beforeAutospacing="0" w:after="0" w:afterAutospacing="0"/>
        <w:contextualSpacing/>
        <w:jc w:val="both"/>
        <w:rPr>
          <w:rFonts w:asciiTheme="minorHAnsi" w:hAnsiTheme="minorHAnsi"/>
          <w:bCs/>
          <w:i/>
          <w:iCs/>
          <w:sz w:val="20"/>
          <w:szCs w:val="20"/>
        </w:rPr>
      </w:pPr>
    </w:p>
    <w:p w14:paraId="0D7A4AE4" w14:textId="4BCE2153" w:rsidR="00565591" w:rsidRPr="00565591" w:rsidRDefault="00565591" w:rsidP="00565591">
      <w:pPr>
        <w:pStyle w:val="NormalWeb"/>
        <w:shd w:val="clear" w:color="auto" w:fill="FFFFFF"/>
        <w:spacing w:before="0" w:beforeAutospacing="0" w:after="0" w:afterAutospacing="0"/>
        <w:contextualSpacing/>
        <w:jc w:val="both"/>
        <w:rPr>
          <w:rFonts w:asciiTheme="minorHAnsi" w:hAnsiTheme="minorHAnsi"/>
          <w:bCs/>
          <w:sz w:val="20"/>
          <w:szCs w:val="20"/>
        </w:rPr>
      </w:pPr>
      <w:r>
        <w:rPr>
          <w:rFonts w:asciiTheme="minorHAnsi" w:hAnsiTheme="minorHAnsi"/>
          <w:i/>
          <w:sz w:val="20"/>
        </w:rPr>
        <w:t>Nota</w:t>
      </w:r>
      <w:r>
        <w:rPr>
          <w:rFonts w:asciiTheme="minorHAnsi" w:hAnsiTheme="minorHAnsi"/>
          <w:sz w:val="20"/>
        </w:rPr>
        <w:t>. Tomado de esta investigación, elaborado a partir de coordenadas geográficas recogidas durante las encuestas realizadas en 2022.</w:t>
      </w:r>
    </w:p>
    <w:p w14:paraId="01BFA216" w14:textId="77777777" w:rsidR="00565591" w:rsidRPr="00565591" w:rsidRDefault="00565591" w:rsidP="00565591">
      <w:pPr>
        <w:pStyle w:val="NormalWeb"/>
        <w:shd w:val="clear" w:color="auto" w:fill="FFFFFF"/>
        <w:spacing w:before="0" w:beforeAutospacing="0" w:after="0" w:afterAutospacing="0"/>
        <w:contextualSpacing/>
        <w:jc w:val="both"/>
        <w:rPr>
          <w:rFonts w:asciiTheme="minorHAnsi" w:hAnsiTheme="minorHAnsi"/>
          <w:bCs/>
          <w:sz w:val="20"/>
          <w:szCs w:val="20"/>
        </w:rPr>
      </w:pPr>
    </w:p>
    <w:p w14:paraId="2797CB3F" w14:textId="77777777" w:rsidR="00565591" w:rsidRDefault="00565591" w:rsidP="00565591">
      <w:pPr>
        <w:pStyle w:val="NormalWeb"/>
        <w:shd w:val="clear" w:color="auto" w:fill="FFFFFF"/>
        <w:spacing w:before="0" w:beforeAutospacing="0" w:after="0" w:afterAutospacing="0"/>
        <w:contextualSpacing/>
        <w:jc w:val="both"/>
        <w:rPr>
          <w:rFonts w:asciiTheme="minorHAnsi" w:hAnsiTheme="minorHAnsi"/>
        </w:rPr>
      </w:pPr>
      <w:r>
        <w:rPr>
          <w:rFonts w:asciiTheme="minorHAnsi" w:hAnsiTheme="minorHAnsi"/>
        </w:rPr>
        <w:t xml:space="preserve">Las cuotas por lugar de encuesta se estimaron y planificaron antes del viaje sobre el terreno en función de los recursos financieros disponibles, la pertinencia de la información que debía recogerse, la situación de seguridad y el acceso geográfico. Al llegar a cada localidad objetivo, la elección de las personas a entrevistar se realizó según un proceso aleatorio. Los encuestados se extrajeron aleatoriamente mediante el método de sorteos sucesivos sin reemplazo, inspirado en la técnica de </w:t>
      </w:r>
      <w:r>
        <w:rPr>
          <w:rFonts w:asciiTheme="minorHAnsi" w:hAnsiTheme="minorHAnsi"/>
          <w:i/>
        </w:rPr>
        <w:t>la urna de Bernoulli,</w:t>
      </w:r>
      <w:r>
        <w:rPr>
          <w:rFonts w:asciiTheme="minorHAnsi" w:hAnsiTheme="minorHAnsi"/>
        </w:rPr>
        <w:t xml:space="preserve"> para dar a todos la posibilidad de ser elegidos como encuestados y reforzar así la característica aleatoria de la muestra. Esta técnica se encuentra en </w:t>
      </w:r>
      <w:proofErr w:type="spellStart"/>
      <w:r>
        <w:rPr>
          <w:rFonts w:asciiTheme="minorHAnsi" w:hAnsiTheme="minorHAnsi"/>
        </w:rPr>
        <w:t>Bahati</w:t>
      </w:r>
      <w:proofErr w:type="spellEnd"/>
      <w:r>
        <w:rPr>
          <w:rFonts w:asciiTheme="minorHAnsi" w:hAnsiTheme="minorHAnsi"/>
        </w:rPr>
        <w:t xml:space="preserve"> (2021) y la recomiendan Chauvet (2015) y </w:t>
      </w:r>
      <w:proofErr w:type="spellStart"/>
      <w:r>
        <w:rPr>
          <w:rFonts w:asciiTheme="minorHAnsi" w:hAnsiTheme="minorHAnsi"/>
        </w:rPr>
        <w:t>Bertsekas</w:t>
      </w:r>
      <w:proofErr w:type="spellEnd"/>
      <w:r>
        <w:rPr>
          <w:rFonts w:asciiTheme="minorHAnsi" w:hAnsiTheme="minorHAnsi"/>
        </w:rPr>
        <w:t xml:space="preserve"> y </w:t>
      </w:r>
      <w:proofErr w:type="spellStart"/>
      <w:r>
        <w:rPr>
          <w:rFonts w:asciiTheme="minorHAnsi" w:hAnsiTheme="minorHAnsi"/>
        </w:rPr>
        <w:t>Tsitsiklis</w:t>
      </w:r>
      <w:proofErr w:type="spellEnd"/>
      <w:r>
        <w:rPr>
          <w:rFonts w:asciiTheme="minorHAnsi" w:hAnsiTheme="minorHAnsi"/>
        </w:rPr>
        <w:t xml:space="preserve"> (2002). El sorteo se aplicó en cada uno de los 8 lugares de la encuesta. Para ello, se elaboró una lista de 110 jóvenes, casi el doble del cupo </w:t>
      </w:r>
      <w:r>
        <w:rPr>
          <w:rFonts w:asciiTheme="minorHAnsi" w:hAnsiTheme="minorHAnsi"/>
        </w:rPr>
        <w:lastRenderedPageBreak/>
        <w:t>previsto, para cada centro y, tras un sorteo sin descuento, se seleccionaron 57 jóvenes de ambos sexos. Esto da un total de 456 jóvenes rurales de entre 15 y 35 años encuestados en los 8 lugares de encuesta. La identificación de los individuos que debían ser encuestados se llevó a cabo en cada lugar con el apoyo de las autoridades locales, los líderes comunitarios y los expertos locales.</w:t>
      </w:r>
    </w:p>
    <w:p w14:paraId="76782902" w14:textId="77777777" w:rsidR="00565591" w:rsidRPr="00565591" w:rsidRDefault="00565591" w:rsidP="00565591">
      <w:pPr>
        <w:pStyle w:val="NormalWeb"/>
        <w:shd w:val="clear" w:color="auto" w:fill="FFFFFF"/>
        <w:spacing w:before="0" w:beforeAutospacing="0" w:after="0" w:afterAutospacing="0"/>
        <w:contextualSpacing/>
        <w:jc w:val="both"/>
        <w:rPr>
          <w:rFonts w:asciiTheme="minorHAnsi" w:hAnsiTheme="minorHAnsi"/>
        </w:rPr>
      </w:pPr>
    </w:p>
    <w:p w14:paraId="055CEF21" w14:textId="77777777" w:rsidR="00565591" w:rsidRDefault="00565591" w:rsidP="00565591">
      <w:pPr>
        <w:pStyle w:val="NormalWeb"/>
        <w:shd w:val="clear" w:color="auto" w:fill="FFFFFF"/>
        <w:spacing w:before="0" w:beforeAutospacing="0" w:after="0" w:afterAutospacing="0"/>
        <w:contextualSpacing/>
        <w:jc w:val="both"/>
        <w:rPr>
          <w:rFonts w:asciiTheme="minorHAnsi" w:hAnsiTheme="minorHAnsi"/>
          <w:b/>
          <w:bCs/>
          <w:i/>
          <w:iCs/>
        </w:rPr>
      </w:pPr>
      <w:r>
        <w:rPr>
          <w:rFonts w:asciiTheme="minorHAnsi" w:hAnsiTheme="minorHAnsi"/>
          <w:b/>
          <w:i/>
        </w:rPr>
        <w:t>Recogida de datos sobre el terreno</w:t>
      </w:r>
    </w:p>
    <w:p w14:paraId="594E8427" w14:textId="77777777" w:rsidR="00565591" w:rsidRDefault="00565591" w:rsidP="00565591">
      <w:pPr>
        <w:pStyle w:val="NormalWeb"/>
        <w:shd w:val="clear" w:color="auto" w:fill="FFFFFF"/>
        <w:spacing w:before="0" w:beforeAutospacing="0" w:after="0" w:afterAutospacing="0"/>
        <w:ind w:firstLine="709"/>
        <w:contextualSpacing/>
        <w:jc w:val="both"/>
        <w:rPr>
          <w:rFonts w:asciiTheme="minorHAnsi" w:hAnsiTheme="minorHAnsi"/>
        </w:rPr>
      </w:pPr>
      <w:r>
        <w:rPr>
          <w:rFonts w:asciiTheme="minorHAnsi" w:hAnsiTheme="minorHAnsi"/>
        </w:rPr>
        <w:t>Esta encuesta se llevó a cabo entre septiembre y octubre de 2022 para analizar las actitudes y percepciones de los jóvenes rurales hacia la agroindustria como profesión en la provincia de Kivu del Sur. Se ha contratado y formado a ocho investigadores con experiencia en la realización de encuestas socioeconómicas y/o agrícolas y familiarizados con el contexto local para que lleven a cabo las encuestas en los ocho lugares seleccionados.</w:t>
      </w:r>
    </w:p>
    <w:p w14:paraId="6B687715" w14:textId="77777777" w:rsidR="00565591" w:rsidRPr="00565591" w:rsidRDefault="00565591" w:rsidP="00565591">
      <w:pPr>
        <w:pStyle w:val="NormalWeb"/>
        <w:shd w:val="clear" w:color="auto" w:fill="FFFFFF"/>
        <w:spacing w:before="0" w:beforeAutospacing="0" w:after="0" w:afterAutospacing="0"/>
        <w:ind w:firstLine="709"/>
        <w:contextualSpacing/>
        <w:jc w:val="both"/>
        <w:rPr>
          <w:rFonts w:asciiTheme="minorHAnsi" w:hAnsiTheme="minorHAnsi"/>
        </w:rPr>
      </w:pPr>
    </w:p>
    <w:p w14:paraId="3430AABB" w14:textId="77777777" w:rsidR="00565591" w:rsidRDefault="00565591" w:rsidP="00565591">
      <w:pPr>
        <w:pStyle w:val="NormalWeb"/>
        <w:shd w:val="clear" w:color="auto" w:fill="FFFFFF"/>
        <w:spacing w:before="0" w:beforeAutospacing="0" w:after="0" w:afterAutospacing="0"/>
        <w:contextualSpacing/>
        <w:jc w:val="both"/>
        <w:rPr>
          <w:rFonts w:asciiTheme="minorHAnsi" w:hAnsiTheme="minorHAnsi"/>
          <w:b/>
          <w:bCs/>
          <w:i/>
          <w:iCs/>
        </w:rPr>
      </w:pPr>
      <w:r>
        <w:rPr>
          <w:rFonts w:asciiTheme="minorHAnsi" w:hAnsiTheme="minorHAnsi"/>
          <w:b/>
          <w:i/>
        </w:rPr>
        <w:t>Instrumentos de investigación</w:t>
      </w:r>
    </w:p>
    <w:p w14:paraId="4A128440" w14:textId="77777777" w:rsidR="00565591" w:rsidRDefault="00565591" w:rsidP="00565591">
      <w:pPr>
        <w:pStyle w:val="NormalWeb"/>
        <w:shd w:val="clear" w:color="auto" w:fill="FFFFFF"/>
        <w:spacing w:before="0" w:beforeAutospacing="0" w:after="0" w:afterAutospacing="0"/>
        <w:ind w:firstLine="709"/>
        <w:contextualSpacing/>
        <w:jc w:val="both"/>
        <w:rPr>
          <w:rFonts w:asciiTheme="minorHAnsi" w:hAnsiTheme="minorHAnsi"/>
        </w:rPr>
      </w:pPr>
      <w:r>
        <w:rPr>
          <w:rFonts w:asciiTheme="minorHAnsi" w:hAnsiTheme="minorHAnsi"/>
        </w:rPr>
        <w:t xml:space="preserve">Se elaboró un cuestionario dirigido a jóvenes de 15 a 35 años utilizando la plataforma </w:t>
      </w:r>
      <w:proofErr w:type="spellStart"/>
      <w:r>
        <w:rPr>
          <w:rFonts w:asciiTheme="minorHAnsi" w:hAnsiTheme="minorHAnsi"/>
        </w:rPr>
        <w:t>KoboToolbox</w:t>
      </w:r>
      <w:proofErr w:type="spellEnd"/>
      <w:r>
        <w:rPr>
          <w:rFonts w:asciiTheme="minorHAnsi" w:hAnsiTheme="minorHAnsi"/>
        </w:rPr>
        <w:t xml:space="preserve"> (</w:t>
      </w:r>
      <w:hyperlink r:id="rId15" w:history="1">
        <w:r>
          <w:rPr>
            <w:rStyle w:val="Hipervnculo"/>
            <w:rFonts w:asciiTheme="minorHAnsi" w:hAnsiTheme="minorHAnsi"/>
          </w:rPr>
          <w:t>https://www.kobotoolbox.org</w:t>
        </w:r>
      </w:hyperlink>
      <w:r>
        <w:rPr>
          <w:rFonts w:asciiTheme="minorHAnsi" w:hAnsiTheme="minorHAnsi"/>
        </w:rPr>
        <w:t xml:space="preserve">) instalada en los teléfonos inteligentes de los investigadores. El cuestionario se programó basándose en la escala Likert de 5 puntos, por lo tanto, variando de 1 a 5: totalmente en desacuerdo-1, en desacuerdo-2, neutral-3, de acuerdo-4 y totalmente de acuerdo -5. Likert (1932) y </w:t>
      </w:r>
      <w:proofErr w:type="spellStart"/>
      <w:r>
        <w:rPr>
          <w:rFonts w:asciiTheme="minorHAnsi" w:hAnsiTheme="minorHAnsi"/>
        </w:rPr>
        <w:t>Allahyari</w:t>
      </w:r>
      <w:proofErr w:type="spellEnd"/>
      <w:r>
        <w:rPr>
          <w:rFonts w:asciiTheme="minorHAnsi" w:hAnsiTheme="minorHAnsi"/>
        </w:rPr>
        <w:t xml:space="preserve"> et al. (2016) demuestran la importancia de utilizar esta escala para comprender plenamente las actitudes y percepciones de las personas ante un fenómeno determinado. Así pues, se invitó a cada joven que participó en la encuesta a indicar su nivel de acuerdo o desacuerdo en función de las declaraciones relacionadas con la percepción de la agricultura como profesión.</w:t>
      </w:r>
    </w:p>
    <w:p w14:paraId="7F766FF3" w14:textId="77777777" w:rsidR="00565591" w:rsidRPr="00565591" w:rsidRDefault="00565591" w:rsidP="00565591">
      <w:pPr>
        <w:pStyle w:val="NormalWeb"/>
        <w:shd w:val="clear" w:color="auto" w:fill="FFFFFF"/>
        <w:spacing w:before="0" w:beforeAutospacing="0" w:after="0" w:afterAutospacing="0"/>
        <w:ind w:firstLine="709"/>
        <w:contextualSpacing/>
        <w:jc w:val="both"/>
        <w:rPr>
          <w:rFonts w:asciiTheme="minorHAnsi" w:hAnsiTheme="minorHAnsi"/>
        </w:rPr>
      </w:pPr>
    </w:p>
    <w:p w14:paraId="43686D8E" w14:textId="77777777" w:rsidR="00565591" w:rsidRDefault="00565591" w:rsidP="00565591">
      <w:pPr>
        <w:pStyle w:val="NormalWeb"/>
        <w:shd w:val="clear" w:color="auto" w:fill="FFFFFF"/>
        <w:spacing w:before="0" w:beforeAutospacing="0" w:after="0" w:afterAutospacing="0"/>
        <w:contextualSpacing/>
        <w:jc w:val="both"/>
        <w:rPr>
          <w:rFonts w:asciiTheme="minorHAnsi" w:hAnsiTheme="minorHAnsi"/>
          <w:b/>
          <w:bCs/>
          <w:i/>
          <w:iCs/>
        </w:rPr>
      </w:pPr>
      <w:r>
        <w:rPr>
          <w:rFonts w:asciiTheme="minorHAnsi" w:hAnsiTheme="minorHAnsi"/>
          <w:b/>
          <w:i/>
        </w:rPr>
        <w:t>Análisis de datos estadísticos</w:t>
      </w:r>
    </w:p>
    <w:p w14:paraId="183FC66B" w14:textId="77777777" w:rsidR="00565591" w:rsidRPr="00565591" w:rsidRDefault="00565591" w:rsidP="00565591">
      <w:pPr>
        <w:pStyle w:val="NormalWeb"/>
        <w:shd w:val="clear" w:color="auto" w:fill="FFFFFF"/>
        <w:spacing w:before="0" w:beforeAutospacing="0" w:after="0" w:afterAutospacing="0"/>
        <w:ind w:firstLine="709"/>
        <w:contextualSpacing/>
        <w:jc w:val="both"/>
        <w:rPr>
          <w:rFonts w:asciiTheme="minorHAnsi" w:hAnsiTheme="minorHAnsi"/>
        </w:rPr>
      </w:pPr>
      <w:r>
        <w:rPr>
          <w:rFonts w:asciiTheme="minorHAnsi" w:hAnsiTheme="minorHAnsi"/>
        </w:rPr>
        <w:t xml:space="preserve">Los datos cualitativos y cuantitativos de la encuesta realizada a 456 jóvenes de zonas rurales ubicados en los 8 lugares de la encuesta se exportaron de la plataforma </w:t>
      </w:r>
      <w:proofErr w:type="spellStart"/>
      <w:r>
        <w:rPr>
          <w:rFonts w:asciiTheme="minorHAnsi" w:hAnsiTheme="minorHAnsi"/>
        </w:rPr>
        <w:t>KoboToolbox</w:t>
      </w:r>
      <w:proofErr w:type="spellEnd"/>
      <w:r>
        <w:rPr>
          <w:rFonts w:asciiTheme="minorHAnsi" w:hAnsiTheme="minorHAnsi"/>
        </w:rPr>
        <w:t xml:space="preserve"> al programa informático Excel para codificarlos y procesarlos. El análisis estadístico descriptivo (frecuencia, media, mediana, desviación estándar) y el análisis estadístico inferencial (prueba estadística no paramétrica: Kruskal-Wallis, Mann-Whitney) se llevó a cabo utilizando el software IBM SPSS </w:t>
      </w:r>
      <w:proofErr w:type="spellStart"/>
      <w:r>
        <w:rPr>
          <w:rFonts w:asciiTheme="minorHAnsi" w:hAnsiTheme="minorHAnsi"/>
        </w:rPr>
        <w:t>Statistics</w:t>
      </w:r>
      <w:proofErr w:type="spellEnd"/>
      <w:r>
        <w:rPr>
          <w:rFonts w:asciiTheme="minorHAnsi" w:hAnsiTheme="minorHAnsi"/>
        </w:rPr>
        <w:t xml:space="preserve"> 20 (Versión 20.0 para Windows, 2013).</w:t>
      </w:r>
    </w:p>
    <w:p w14:paraId="61ABA493" w14:textId="77777777" w:rsidR="00565591" w:rsidRPr="00565591" w:rsidRDefault="00565591" w:rsidP="00565591">
      <w:pPr>
        <w:pStyle w:val="Numeracion"/>
        <w:tabs>
          <w:tab w:val="clear" w:pos="720"/>
        </w:tabs>
        <w:ind w:left="340" w:hanging="340"/>
        <w:jc w:val="center"/>
        <w:rPr>
          <w:rFonts w:asciiTheme="minorHAnsi" w:hAnsiTheme="minorHAnsi"/>
          <w:sz w:val="24"/>
        </w:rPr>
      </w:pPr>
    </w:p>
    <w:p w14:paraId="7103F7B9" w14:textId="77777777" w:rsidR="00565591" w:rsidRPr="00565591" w:rsidRDefault="00565591" w:rsidP="00565591">
      <w:pPr>
        <w:pStyle w:val="Numeracion"/>
        <w:tabs>
          <w:tab w:val="clear" w:pos="720"/>
        </w:tabs>
        <w:ind w:left="340" w:hanging="340"/>
        <w:jc w:val="center"/>
        <w:rPr>
          <w:rFonts w:asciiTheme="minorHAnsi" w:hAnsiTheme="minorHAnsi"/>
          <w:sz w:val="24"/>
        </w:rPr>
      </w:pPr>
    </w:p>
    <w:p w14:paraId="40436905" w14:textId="77777777" w:rsidR="00565591" w:rsidRDefault="00565591" w:rsidP="00565591">
      <w:pPr>
        <w:pStyle w:val="Numeracion"/>
        <w:tabs>
          <w:tab w:val="clear" w:pos="720"/>
        </w:tabs>
        <w:ind w:left="340" w:hanging="340"/>
        <w:jc w:val="center"/>
        <w:rPr>
          <w:rFonts w:asciiTheme="minorHAnsi" w:hAnsiTheme="minorHAnsi"/>
          <w:sz w:val="28"/>
          <w:szCs w:val="28"/>
        </w:rPr>
      </w:pPr>
      <w:r>
        <w:rPr>
          <w:rFonts w:asciiTheme="minorHAnsi" w:hAnsiTheme="minorHAnsi"/>
          <w:sz w:val="28"/>
        </w:rPr>
        <w:t>Resultados</w:t>
      </w:r>
    </w:p>
    <w:p w14:paraId="20CB9ED2" w14:textId="77777777" w:rsidR="00565591" w:rsidRPr="00565591" w:rsidRDefault="00565591" w:rsidP="00565591"/>
    <w:p w14:paraId="7520C58C" w14:textId="77777777" w:rsidR="00565591" w:rsidRDefault="00565591" w:rsidP="00565591">
      <w:pPr>
        <w:ind w:firstLine="709"/>
        <w:outlineLvl w:val="2"/>
        <w:rPr>
          <w:rFonts w:asciiTheme="minorHAnsi" w:hAnsiTheme="minorHAnsi"/>
          <w:sz w:val="24"/>
        </w:rPr>
      </w:pPr>
      <w:r>
        <w:rPr>
          <w:rFonts w:asciiTheme="minorHAnsi" w:hAnsiTheme="minorHAnsi"/>
          <w:sz w:val="24"/>
        </w:rPr>
        <w:t>Los resultados presentados en esta sección se refieren al perfil de los jóvenes rurales encuestados, sus actitudes hacia la agroindustria, un análisis detallado de las percepciones, así como los factores que influyen en dichas percepciones.</w:t>
      </w:r>
    </w:p>
    <w:p w14:paraId="00A680A7" w14:textId="77777777" w:rsidR="00565591" w:rsidRPr="00565591" w:rsidRDefault="00565591" w:rsidP="00565591">
      <w:pPr>
        <w:ind w:firstLine="709"/>
        <w:outlineLvl w:val="2"/>
        <w:rPr>
          <w:rFonts w:asciiTheme="minorHAnsi" w:hAnsiTheme="minorHAnsi"/>
          <w:sz w:val="24"/>
        </w:rPr>
      </w:pPr>
    </w:p>
    <w:p w14:paraId="054778CF" w14:textId="0EA22F0F" w:rsidR="00565591" w:rsidRDefault="00565591" w:rsidP="00565591">
      <w:pPr>
        <w:ind w:firstLine="0"/>
        <w:outlineLvl w:val="2"/>
        <w:rPr>
          <w:rFonts w:asciiTheme="minorHAnsi" w:hAnsiTheme="minorHAnsi"/>
          <w:b/>
          <w:sz w:val="24"/>
        </w:rPr>
      </w:pPr>
      <w:r>
        <w:rPr>
          <w:rFonts w:asciiTheme="minorHAnsi" w:hAnsiTheme="minorHAnsi"/>
          <w:b/>
          <w:sz w:val="24"/>
        </w:rPr>
        <w:t>Perfil de los jóvenes rurales encuestados</w:t>
      </w:r>
    </w:p>
    <w:p w14:paraId="21F254E0" w14:textId="77777777" w:rsidR="00565591" w:rsidRDefault="00565591" w:rsidP="00565591">
      <w:pPr>
        <w:ind w:firstLine="709"/>
        <w:outlineLvl w:val="2"/>
        <w:rPr>
          <w:rFonts w:asciiTheme="minorHAnsi" w:hAnsiTheme="minorHAnsi"/>
          <w:sz w:val="24"/>
        </w:rPr>
      </w:pPr>
      <w:r>
        <w:rPr>
          <w:rFonts w:asciiTheme="minorHAnsi" w:hAnsiTheme="minorHAnsi"/>
          <w:sz w:val="24"/>
        </w:rPr>
        <w:t>El cuadro 1 indica que el estudio se refería a 456 jóvenes rurales pertenecientes a 4 grupos de edad, de los cuales 177 jóvenes (38,8%) tenían entre 15 y 19 años, 128 jóvenes (28%) entre 20 y 24 años. El tercer grupo está formado por 82 jóvenes (18%) de 24 a 25 años y el último por 69 jóvenes (11,6%) de 30 a 35 años. La edad media era de 22,41 años, con una desviación típica de 5,555, mientras que la mediana es de 21,50 años.</w:t>
      </w:r>
    </w:p>
    <w:p w14:paraId="718AF563" w14:textId="77777777" w:rsidR="00565591" w:rsidRPr="00565591" w:rsidRDefault="00565591" w:rsidP="00565591">
      <w:pPr>
        <w:ind w:firstLine="709"/>
        <w:outlineLvl w:val="2"/>
        <w:rPr>
          <w:rFonts w:asciiTheme="minorHAnsi" w:hAnsiTheme="minorHAnsi"/>
          <w:sz w:val="24"/>
        </w:rPr>
      </w:pPr>
    </w:p>
    <w:p w14:paraId="05DD966A" w14:textId="77777777" w:rsidR="00A407E5" w:rsidRDefault="00A407E5" w:rsidP="00565591">
      <w:pPr>
        <w:ind w:firstLine="0"/>
        <w:contextualSpacing/>
        <w:outlineLvl w:val="2"/>
        <w:rPr>
          <w:rFonts w:asciiTheme="minorHAnsi" w:hAnsiTheme="minorHAnsi"/>
          <w:b/>
          <w:sz w:val="24"/>
        </w:rPr>
      </w:pPr>
    </w:p>
    <w:p w14:paraId="68AEC746" w14:textId="3DE1433F" w:rsidR="00565591" w:rsidRPr="00565591" w:rsidRDefault="00565591" w:rsidP="00565591">
      <w:pPr>
        <w:ind w:firstLine="0"/>
        <w:contextualSpacing/>
        <w:outlineLvl w:val="2"/>
        <w:rPr>
          <w:rFonts w:asciiTheme="minorHAnsi" w:hAnsiTheme="minorHAnsi"/>
          <w:b/>
          <w:sz w:val="24"/>
        </w:rPr>
      </w:pPr>
      <w:r>
        <w:rPr>
          <w:rFonts w:asciiTheme="minorHAnsi" w:hAnsiTheme="minorHAnsi"/>
          <w:b/>
          <w:sz w:val="24"/>
        </w:rPr>
        <w:lastRenderedPageBreak/>
        <w:t>Cuadro 1</w:t>
      </w:r>
    </w:p>
    <w:p w14:paraId="141FC796" w14:textId="1ECCB456" w:rsidR="00565591" w:rsidRDefault="00565591" w:rsidP="00565591">
      <w:pPr>
        <w:ind w:firstLine="0"/>
        <w:contextualSpacing/>
        <w:outlineLvl w:val="2"/>
        <w:rPr>
          <w:rFonts w:asciiTheme="minorHAnsi" w:hAnsiTheme="minorHAnsi"/>
          <w:i/>
          <w:sz w:val="20"/>
          <w:szCs w:val="20"/>
        </w:rPr>
      </w:pPr>
      <w:r>
        <w:rPr>
          <w:rFonts w:asciiTheme="minorHAnsi" w:hAnsiTheme="minorHAnsi"/>
          <w:i/>
          <w:sz w:val="24"/>
        </w:rPr>
        <w:t>Distribución por edades de los jóvenes rurales encuestados</w:t>
      </w:r>
    </w:p>
    <w:p w14:paraId="5F7706EC" w14:textId="77777777" w:rsidR="00565591" w:rsidRPr="00565591" w:rsidRDefault="00565591" w:rsidP="00565591">
      <w:pPr>
        <w:ind w:firstLine="0"/>
        <w:contextualSpacing/>
        <w:outlineLvl w:val="2"/>
        <w:rPr>
          <w:rFonts w:asciiTheme="minorHAnsi" w:hAnsiTheme="minorHAnsi"/>
          <w:i/>
          <w:sz w:val="20"/>
          <w:szCs w:val="20"/>
        </w:rPr>
      </w:pPr>
    </w:p>
    <w:tbl>
      <w:tblPr>
        <w:tblStyle w:val="Tablaconcuadrcula"/>
        <w:tblW w:w="4942" w:type="pct"/>
        <w:tblInd w:w="108" w:type="dxa"/>
        <w:tblLook w:val="04A0" w:firstRow="1" w:lastRow="0" w:firstColumn="1" w:lastColumn="0" w:noHBand="0" w:noVBand="1"/>
      </w:tblPr>
      <w:tblGrid>
        <w:gridCol w:w="3203"/>
        <w:gridCol w:w="3111"/>
        <w:gridCol w:w="2651"/>
      </w:tblGrid>
      <w:tr w:rsidR="00565591" w:rsidRPr="00565591" w14:paraId="107481F1" w14:textId="77777777" w:rsidTr="009D10E7">
        <w:tc>
          <w:tcPr>
            <w:tcW w:w="3203" w:type="dxa"/>
            <w:tcBorders>
              <w:top w:val="single" w:sz="4" w:space="0" w:color="auto"/>
              <w:left w:val="nil"/>
              <w:bottom w:val="single" w:sz="4" w:space="0" w:color="auto"/>
              <w:right w:val="nil"/>
            </w:tcBorders>
          </w:tcPr>
          <w:p w14:paraId="22388256" w14:textId="77777777" w:rsidR="00565591" w:rsidRPr="00565591" w:rsidRDefault="00565591" w:rsidP="009D10E7">
            <w:pPr>
              <w:pStyle w:val="Prrafodelista"/>
              <w:ind w:left="0"/>
              <w:jc w:val="center"/>
              <w:outlineLvl w:val="2"/>
              <w:rPr>
                <w:rFonts w:asciiTheme="minorHAnsi" w:hAnsiTheme="minorHAnsi"/>
                <w:b/>
                <w:sz w:val="20"/>
                <w:szCs w:val="20"/>
              </w:rPr>
            </w:pPr>
            <w:r>
              <w:rPr>
                <w:rFonts w:asciiTheme="minorHAnsi" w:hAnsiTheme="minorHAnsi"/>
                <w:b/>
                <w:sz w:val="20"/>
              </w:rPr>
              <w:t>Grupos de edad de los jóvenes</w:t>
            </w:r>
          </w:p>
        </w:tc>
        <w:tc>
          <w:tcPr>
            <w:tcW w:w="3111" w:type="dxa"/>
            <w:tcBorders>
              <w:top w:val="single" w:sz="4" w:space="0" w:color="auto"/>
              <w:left w:val="nil"/>
              <w:bottom w:val="single" w:sz="4" w:space="0" w:color="auto"/>
              <w:right w:val="nil"/>
            </w:tcBorders>
          </w:tcPr>
          <w:p w14:paraId="6CECE399" w14:textId="77777777" w:rsidR="00565591" w:rsidRPr="00565591" w:rsidRDefault="00565591" w:rsidP="009D10E7">
            <w:pPr>
              <w:pStyle w:val="Prrafodelista"/>
              <w:ind w:left="0"/>
              <w:jc w:val="center"/>
              <w:outlineLvl w:val="2"/>
              <w:rPr>
                <w:rFonts w:asciiTheme="minorHAnsi" w:hAnsiTheme="minorHAnsi"/>
                <w:b/>
                <w:sz w:val="20"/>
                <w:szCs w:val="20"/>
              </w:rPr>
            </w:pPr>
            <w:r>
              <w:rPr>
                <w:rFonts w:asciiTheme="minorHAnsi" w:hAnsiTheme="minorHAnsi"/>
                <w:b/>
                <w:sz w:val="20"/>
              </w:rPr>
              <w:t>Frecuencia</w:t>
            </w:r>
          </w:p>
        </w:tc>
        <w:tc>
          <w:tcPr>
            <w:tcW w:w="2651" w:type="dxa"/>
            <w:tcBorders>
              <w:top w:val="single" w:sz="4" w:space="0" w:color="auto"/>
              <w:left w:val="nil"/>
              <w:bottom w:val="single" w:sz="4" w:space="0" w:color="auto"/>
              <w:right w:val="nil"/>
            </w:tcBorders>
          </w:tcPr>
          <w:p w14:paraId="56E453ED" w14:textId="77777777" w:rsidR="00565591" w:rsidRPr="00565591" w:rsidRDefault="00565591" w:rsidP="009D10E7">
            <w:pPr>
              <w:pStyle w:val="Prrafodelista"/>
              <w:ind w:left="0"/>
              <w:jc w:val="center"/>
              <w:outlineLvl w:val="2"/>
              <w:rPr>
                <w:rFonts w:asciiTheme="minorHAnsi" w:hAnsiTheme="minorHAnsi"/>
                <w:b/>
                <w:sz w:val="20"/>
                <w:szCs w:val="20"/>
              </w:rPr>
            </w:pPr>
            <w:r>
              <w:rPr>
                <w:rFonts w:asciiTheme="minorHAnsi" w:hAnsiTheme="minorHAnsi"/>
                <w:b/>
                <w:sz w:val="20"/>
              </w:rPr>
              <w:t>Porcentaje</w:t>
            </w:r>
          </w:p>
        </w:tc>
      </w:tr>
      <w:tr w:rsidR="00565591" w:rsidRPr="00565591" w14:paraId="7DCFBFDF" w14:textId="77777777" w:rsidTr="009D10E7">
        <w:tc>
          <w:tcPr>
            <w:tcW w:w="3203" w:type="dxa"/>
            <w:tcBorders>
              <w:top w:val="single" w:sz="4" w:space="0" w:color="auto"/>
              <w:left w:val="nil"/>
              <w:bottom w:val="nil"/>
              <w:right w:val="nil"/>
            </w:tcBorders>
          </w:tcPr>
          <w:p w14:paraId="60A9C208" w14:textId="77777777" w:rsidR="00565591" w:rsidRPr="00565591" w:rsidRDefault="00565591" w:rsidP="009D10E7">
            <w:pPr>
              <w:pStyle w:val="Prrafodelista"/>
              <w:ind w:left="0"/>
              <w:jc w:val="center"/>
              <w:outlineLvl w:val="2"/>
              <w:rPr>
                <w:rFonts w:asciiTheme="minorHAnsi" w:hAnsiTheme="minorHAnsi"/>
                <w:b/>
                <w:sz w:val="20"/>
                <w:szCs w:val="20"/>
              </w:rPr>
            </w:pPr>
            <w:r>
              <w:rPr>
                <w:rFonts w:asciiTheme="minorHAnsi" w:hAnsiTheme="minorHAnsi"/>
                <w:sz w:val="20"/>
              </w:rPr>
              <w:t>15-19</w:t>
            </w:r>
          </w:p>
        </w:tc>
        <w:tc>
          <w:tcPr>
            <w:tcW w:w="3111" w:type="dxa"/>
            <w:tcBorders>
              <w:top w:val="single" w:sz="4" w:space="0" w:color="auto"/>
              <w:left w:val="nil"/>
              <w:bottom w:val="nil"/>
              <w:right w:val="nil"/>
            </w:tcBorders>
          </w:tcPr>
          <w:p w14:paraId="6B8591AF" w14:textId="77777777" w:rsidR="00565591" w:rsidRPr="00565591" w:rsidRDefault="00565591" w:rsidP="009D10E7">
            <w:pPr>
              <w:pStyle w:val="Prrafodelista"/>
              <w:ind w:left="0"/>
              <w:jc w:val="center"/>
              <w:outlineLvl w:val="2"/>
              <w:rPr>
                <w:rFonts w:asciiTheme="minorHAnsi" w:hAnsiTheme="minorHAnsi"/>
                <w:b/>
                <w:sz w:val="20"/>
                <w:szCs w:val="20"/>
              </w:rPr>
            </w:pPr>
            <w:r>
              <w:rPr>
                <w:rFonts w:asciiTheme="minorHAnsi" w:hAnsiTheme="minorHAnsi"/>
                <w:sz w:val="20"/>
              </w:rPr>
              <w:t>177</w:t>
            </w:r>
          </w:p>
        </w:tc>
        <w:tc>
          <w:tcPr>
            <w:tcW w:w="2651" w:type="dxa"/>
            <w:tcBorders>
              <w:top w:val="single" w:sz="4" w:space="0" w:color="auto"/>
              <w:left w:val="nil"/>
              <w:bottom w:val="nil"/>
              <w:right w:val="nil"/>
            </w:tcBorders>
          </w:tcPr>
          <w:p w14:paraId="7E32CC2C" w14:textId="77777777" w:rsidR="00565591" w:rsidRPr="00565591" w:rsidRDefault="00565591" w:rsidP="009D10E7">
            <w:pPr>
              <w:pStyle w:val="Prrafodelista"/>
              <w:ind w:left="0"/>
              <w:jc w:val="center"/>
              <w:outlineLvl w:val="2"/>
              <w:rPr>
                <w:rFonts w:asciiTheme="minorHAnsi" w:hAnsiTheme="minorHAnsi"/>
                <w:b/>
                <w:sz w:val="20"/>
                <w:szCs w:val="20"/>
              </w:rPr>
            </w:pPr>
            <w:r>
              <w:rPr>
                <w:rFonts w:asciiTheme="minorHAnsi" w:hAnsiTheme="minorHAnsi"/>
                <w:sz w:val="20"/>
              </w:rPr>
              <w:t>38.8</w:t>
            </w:r>
          </w:p>
        </w:tc>
      </w:tr>
      <w:tr w:rsidR="00565591" w:rsidRPr="00565591" w14:paraId="01FBB18C" w14:textId="77777777" w:rsidTr="009D10E7">
        <w:tc>
          <w:tcPr>
            <w:tcW w:w="3203" w:type="dxa"/>
            <w:tcBorders>
              <w:top w:val="nil"/>
              <w:left w:val="nil"/>
              <w:bottom w:val="nil"/>
              <w:right w:val="nil"/>
            </w:tcBorders>
          </w:tcPr>
          <w:p w14:paraId="2600D303" w14:textId="77777777" w:rsidR="00565591" w:rsidRPr="00565591" w:rsidRDefault="00565591" w:rsidP="009D10E7">
            <w:pPr>
              <w:pStyle w:val="Prrafodelista"/>
              <w:ind w:left="0"/>
              <w:jc w:val="center"/>
              <w:outlineLvl w:val="2"/>
              <w:rPr>
                <w:rFonts w:asciiTheme="minorHAnsi" w:hAnsiTheme="minorHAnsi"/>
                <w:b/>
                <w:sz w:val="20"/>
                <w:szCs w:val="20"/>
              </w:rPr>
            </w:pPr>
            <w:r>
              <w:rPr>
                <w:rFonts w:asciiTheme="minorHAnsi" w:hAnsiTheme="minorHAnsi"/>
                <w:sz w:val="20"/>
              </w:rPr>
              <w:t>20-24</w:t>
            </w:r>
          </w:p>
        </w:tc>
        <w:tc>
          <w:tcPr>
            <w:tcW w:w="3111" w:type="dxa"/>
            <w:tcBorders>
              <w:top w:val="nil"/>
              <w:left w:val="nil"/>
              <w:bottom w:val="nil"/>
              <w:right w:val="nil"/>
            </w:tcBorders>
          </w:tcPr>
          <w:p w14:paraId="08ABDD74" w14:textId="77777777" w:rsidR="00565591" w:rsidRPr="00565591" w:rsidRDefault="00565591" w:rsidP="009D10E7">
            <w:pPr>
              <w:pStyle w:val="Prrafodelista"/>
              <w:ind w:left="0"/>
              <w:jc w:val="center"/>
              <w:outlineLvl w:val="2"/>
              <w:rPr>
                <w:rFonts w:asciiTheme="minorHAnsi" w:hAnsiTheme="minorHAnsi"/>
                <w:b/>
                <w:sz w:val="20"/>
                <w:szCs w:val="20"/>
              </w:rPr>
            </w:pPr>
            <w:r>
              <w:rPr>
                <w:rFonts w:asciiTheme="minorHAnsi" w:hAnsiTheme="minorHAnsi"/>
                <w:sz w:val="20"/>
              </w:rPr>
              <w:t>128</w:t>
            </w:r>
          </w:p>
        </w:tc>
        <w:tc>
          <w:tcPr>
            <w:tcW w:w="2651" w:type="dxa"/>
            <w:tcBorders>
              <w:top w:val="nil"/>
              <w:left w:val="nil"/>
              <w:bottom w:val="nil"/>
              <w:right w:val="nil"/>
            </w:tcBorders>
          </w:tcPr>
          <w:p w14:paraId="445B69EE" w14:textId="77777777" w:rsidR="00565591" w:rsidRPr="00565591" w:rsidRDefault="00565591" w:rsidP="009D10E7">
            <w:pPr>
              <w:pStyle w:val="Prrafodelista"/>
              <w:ind w:left="0"/>
              <w:jc w:val="center"/>
              <w:outlineLvl w:val="2"/>
              <w:rPr>
                <w:rFonts w:asciiTheme="minorHAnsi" w:hAnsiTheme="minorHAnsi"/>
                <w:b/>
                <w:sz w:val="20"/>
                <w:szCs w:val="20"/>
              </w:rPr>
            </w:pPr>
            <w:r>
              <w:rPr>
                <w:rFonts w:asciiTheme="minorHAnsi" w:hAnsiTheme="minorHAnsi"/>
                <w:sz w:val="20"/>
              </w:rPr>
              <w:t>28.1</w:t>
            </w:r>
          </w:p>
        </w:tc>
      </w:tr>
      <w:tr w:rsidR="00565591" w:rsidRPr="00565591" w14:paraId="64968472" w14:textId="77777777" w:rsidTr="009D10E7">
        <w:tc>
          <w:tcPr>
            <w:tcW w:w="3203" w:type="dxa"/>
            <w:tcBorders>
              <w:top w:val="nil"/>
              <w:left w:val="nil"/>
              <w:bottom w:val="nil"/>
              <w:right w:val="nil"/>
            </w:tcBorders>
          </w:tcPr>
          <w:p w14:paraId="2FD6F26C" w14:textId="77777777" w:rsidR="00565591" w:rsidRPr="00565591" w:rsidRDefault="00565591" w:rsidP="009D10E7">
            <w:pPr>
              <w:pStyle w:val="Prrafodelista"/>
              <w:ind w:left="0"/>
              <w:jc w:val="center"/>
              <w:outlineLvl w:val="2"/>
              <w:rPr>
                <w:rFonts w:asciiTheme="minorHAnsi" w:hAnsiTheme="minorHAnsi"/>
                <w:b/>
                <w:sz w:val="20"/>
                <w:szCs w:val="20"/>
              </w:rPr>
            </w:pPr>
            <w:r>
              <w:rPr>
                <w:rFonts w:asciiTheme="minorHAnsi" w:hAnsiTheme="minorHAnsi"/>
                <w:sz w:val="20"/>
              </w:rPr>
              <w:t>25-29</w:t>
            </w:r>
          </w:p>
        </w:tc>
        <w:tc>
          <w:tcPr>
            <w:tcW w:w="3111" w:type="dxa"/>
            <w:tcBorders>
              <w:top w:val="nil"/>
              <w:left w:val="nil"/>
              <w:bottom w:val="nil"/>
              <w:right w:val="nil"/>
            </w:tcBorders>
          </w:tcPr>
          <w:p w14:paraId="641ED34E" w14:textId="77777777" w:rsidR="00565591" w:rsidRPr="00565591" w:rsidRDefault="00565591" w:rsidP="009D10E7">
            <w:pPr>
              <w:pStyle w:val="Prrafodelista"/>
              <w:ind w:left="0"/>
              <w:jc w:val="center"/>
              <w:outlineLvl w:val="2"/>
              <w:rPr>
                <w:rFonts w:asciiTheme="minorHAnsi" w:hAnsiTheme="minorHAnsi"/>
                <w:b/>
                <w:sz w:val="20"/>
                <w:szCs w:val="20"/>
              </w:rPr>
            </w:pPr>
            <w:r>
              <w:rPr>
                <w:rFonts w:asciiTheme="minorHAnsi" w:hAnsiTheme="minorHAnsi"/>
                <w:sz w:val="20"/>
              </w:rPr>
              <w:t>82</w:t>
            </w:r>
          </w:p>
        </w:tc>
        <w:tc>
          <w:tcPr>
            <w:tcW w:w="2651" w:type="dxa"/>
            <w:tcBorders>
              <w:top w:val="nil"/>
              <w:left w:val="nil"/>
              <w:bottom w:val="nil"/>
              <w:right w:val="nil"/>
            </w:tcBorders>
          </w:tcPr>
          <w:p w14:paraId="0D9D3F6A" w14:textId="77777777" w:rsidR="00565591" w:rsidRPr="00565591" w:rsidRDefault="00565591" w:rsidP="009D10E7">
            <w:pPr>
              <w:pStyle w:val="Prrafodelista"/>
              <w:ind w:left="0"/>
              <w:jc w:val="center"/>
              <w:outlineLvl w:val="2"/>
              <w:rPr>
                <w:rFonts w:asciiTheme="minorHAnsi" w:hAnsiTheme="minorHAnsi"/>
                <w:b/>
                <w:sz w:val="20"/>
                <w:szCs w:val="20"/>
              </w:rPr>
            </w:pPr>
            <w:r>
              <w:rPr>
                <w:rFonts w:asciiTheme="minorHAnsi" w:hAnsiTheme="minorHAnsi"/>
                <w:sz w:val="20"/>
              </w:rPr>
              <w:t>18.0</w:t>
            </w:r>
          </w:p>
        </w:tc>
      </w:tr>
      <w:tr w:rsidR="00565591" w:rsidRPr="00565591" w14:paraId="7D80EFB4" w14:textId="77777777" w:rsidTr="009D10E7">
        <w:tc>
          <w:tcPr>
            <w:tcW w:w="3203" w:type="dxa"/>
            <w:tcBorders>
              <w:top w:val="nil"/>
              <w:left w:val="nil"/>
              <w:bottom w:val="nil"/>
              <w:right w:val="nil"/>
            </w:tcBorders>
          </w:tcPr>
          <w:p w14:paraId="7D63F96E" w14:textId="77777777" w:rsidR="00565591" w:rsidRPr="00565591" w:rsidRDefault="00565591" w:rsidP="009D10E7">
            <w:pPr>
              <w:pStyle w:val="Prrafodelista"/>
              <w:ind w:left="0"/>
              <w:jc w:val="center"/>
              <w:outlineLvl w:val="2"/>
              <w:rPr>
                <w:rFonts w:asciiTheme="minorHAnsi" w:hAnsiTheme="minorHAnsi"/>
                <w:b/>
                <w:sz w:val="20"/>
                <w:szCs w:val="20"/>
              </w:rPr>
            </w:pPr>
            <w:r>
              <w:rPr>
                <w:rFonts w:asciiTheme="minorHAnsi" w:hAnsiTheme="minorHAnsi"/>
                <w:sz w:val="20"/>
              </w:rPr>
              <w:t>30-35</w:t>
            </w:r>
          </w:p>
        </w:tc>
        <w:tc>
          <w:tcPr>
            <w:tcW w:w="3111" w:type="dxa"/>
            <w:tcBorders>
              <w:top w:val="nil"/>
              <w:left w:val="nil"/>
              <w:bottom w:val="nil"/>
              <w:right w:val="nil"/>
            </w:tcBorders>
          </w:tcPr>
          <w:p w14:paraId="7F64E000" w14:textId="77777777" w:rsidR="00565591" w:rsidRPr="00565591" w:rsidRDefault="00565591" w:rsidP="009D10E7">
            <w:pPr>
              <w:pStyle w:val="Prrafodelista"/>
              <w:ind w:left="0"/>
              <w:jc w:val="center"/>
              <w:outlineLvl w:val="2"/>
              <w:rPr>
                <w:rFonts w:asciiTheme="minorHAnsi" w:hAnsiTheme="minorHAnsi"/>
                <w:b/>
                <w:sz w:val="20"/>
                <w:szCs w:val="20"/>
              </w:rPr>
            </w:pPr>
            <w:r>
              <w:rPr>
                <w:rFonts w:asciiTheme="minorHAnsi" w:hAnsiTheme="minorHAnsi"/>
                <w:sz w:val="20"/>
              </w:rPr>
              <w:t>69</w:t>
            </w:r>
          </w:p>
        </w:tc>
        <w:tc>
          <w:tcPr>
            <w:tcW w:w="2651" w:type="dxa"/>
            <w:tcBorders>
              <w:top w:val="nil"/>
              <w:left w:val="nil"/>
              <w:bottom w:val="nil"/>
              <w:right w:val="nil"/>
            </w:tcBorders>
          </w:tcPr>
          <w:p w14:paraId="5BF267B2" w14:textId="77777777" w:rsidR="00565591" w:rsidRPr="00565591" w:rsidRDefault="00565591" w:rsidP="009D10E7">
            <w:pPr>
              <w:pStyle w:val="Prrafodelista"/>
              <w:ind w:left="0"/>
              <w:jc w:val="center"/>
              <w:outlineLvl w:val="2"/>
              <w:rPr>
                <w:rFonts w:asciiTheme="minorHAnsi" w:hAnsiTheme="minorHAnsi"/>
                <w:b/>
                <w:sz w:val="20"/>
                <w:szCs w:val="20"/>
              </w:rPr>
            </w:pPr>
            <w:r>
              <w:rPr>
                <w:rFonts w:asciiTheme="minorHAnsi" w:hAnsiTheme="minorHAnsi"/>
                <w:sz w:val="20"/>
              </w:rPr>
              <w:t>11.6</w:t>
            </w:r>
          </w:p>
        </w:tc>
      </w:tr>
      <w:tr w:rsidR="00565591" w:rsidRPr="00565591" w14:paraId="3DDD0317" w14:textId="77777777" w:rsidTr="009D10E7">
        <w:tc>
          <w:tcPr>
            <w:tcW w:w="3203" w:type="dxa"/>
            <w:tcBorders>
              <w:top w:val="nil"/>
              <w:left w:val="nil"/>
              <w:bottom w:val="nil"/>
              <w:right w:val="nil"/>
            </w:tcBorders>
          </w:tcPr>
          <w:p w14:paraId="5678B6A3" w14:textId="77777777" w:rsidR="00565591" w:rsidRPr="00565591" w:rsidRDefault="00565591" w:rsidP="009D10E7">
            <w:pPr>
              <w:pStyle w:val="Prrafodelista"/>
              <w:ind w:left="0"/>
              <w:jc w:val="center"/>
              <w:outlineLvl w:val="2"/>
              <w:rPr>
                <w:rFonts w:asciiTheme="minorHAnsi" w:hAnsiTheme="minorHAnsi"/>
                <w:b/>
                <w:sz w:val="20"/>
                <w:szCs w:val="20"/>
              </w:rPr>
            </w:pPr>
            <w:r>
              <w:rPr>
                <w:rFonts w:asciiTheme="minorHAnsi" w:hAnsiTheme="minorHAnsi"/>
                <w:sz w:val="20"/>
              </w:rPr>
              <w:t>Total</w:t>
            </w:r>
          </w:p>
        </w:tc>
        <w:tc>
          <w:tcPr>
            <w:tcW w:w="3111" w:type="dxa"/>
            <w:tcBorders>
              <w:top w:val="nil"/>
              <w:left w:val="nil"/>
              <w:bottom w:val="nil"/>
              <w:right w:val="nil"/>
            </w:tcBorders>
          </w:tcPr>
          <w:p w14:paraId="70037AEE" w14:textId="77777777" w:rsidR="00565591" w:rsidRPr="00565591" w:rsidRDefault="00565591" w:rsidP="009D10E7">
            <w:pPr>
              <w:pStyle w:val="Prrafodelista"/>
              <w:ind w:left="0"/>
              <w:jc w:val="center"/>
              <w:outlineLvl w:val="2"/>
              <w:rPr>
                <w:rFonts w:asciiTheme="minorHAnsi" w:hAnsiTheme="minorHAnsi"/>
                <w:b/>
                <w:sz w:val="20"/>
                <w:szCs w:val="20"/>
              </w:rPr>
            </w:pPr>
            <w:r>
              <w:rPr>
                <w:rFonts w:asciiTheme="minorHAnsi" w:hAnsiTheme="minorHAnsi"/>
                <w:sz w:val="20"/>
              </w:rPr>
              <w:t>456</w:t>
            </w:r>
          </w:p>
        </w:tc>
        <w:tc>
          <w:tcPr>
            <w:tcW w:w="2651" w:type="dxa"/>
            <w:tcBorders>
              <w:top w:val="nil"/>
              <w:left w:val="nil"/>
              <w:bottom w:val="nil"/>
              <w:right w:val="nil"/>
            </w:tcBorders>
          </w:tcPr>
          <w:p w14:paraId="508FF5FE" w14:textId="77777777" w:rsidR="00565591" w:rsidRPr="00565591" w:rsidRDefault="00565591" w:rsidP="009D10E7">
            <w:pPr>
              <w:pStyle w:val="Prrafodelista"/>
              <w:ind w:left="0"/>
              <w:jc w:val="center"/>
              <w:outlineLvl w:val="2"/>
              <w:rPr>
                <w:rFonts w:asciiTheme="minorHAnsi" w:hAnsiTheme="minorHAnsi"/>
                <w:b/>
                <w:sz w:val="20"/>
                <w:szCs w:val="20"/>
              </w:rPr>
            </w:pPr>
            <w:r>
              <w:rPr>
                <w:rFonts w:asciiTheme="minorHAnsi" w:hAnsiTheme="minorHAnsi"/>
                <w:sz w:val="20"/>
              </w:rPr>
              <w:t>100.0</w:t>
            </w:r>
          </w:p>
        </w:tc>
      </w:tr>
      <w:tr w:rsidR="00565591" w:rsidRPr="00565591" w14:paraId="6777BC0D" w14:textId="77777777" w:rsidTr="009D10E7">
        <w:tc>
          <w:tcPr>
            <w:tcW w:w="3203" w:type="dxa"/>
            <w:tcBorders>
              <w:top w:val="nil"/>
              <w:left w:val="nil"/>
              <w:bottom w:val="nil"/>
              <w:right w:val="nil"/>
            </w:tcBorders>
          </w:tcPr>
          <w:p w14:paraId="62CC5FD2" w14:textId="77777777" w:rsidR="00565591" w:rsidRPr="00565591" w:rsidRDefault="00565591" w:rsidP="009D10E7">
            <w:pPr>
              <w:pStyle w:val="Prrafodelista"/>
              <w:ind w:left="0"/>
              <w:jc w:val="center"/>
              <w:outlineLvl w:val="2"/>
              <w:rPr>
                <w:rFonts w:asciiTheme="minorHAnsi" w:hAnsiTheme="minorHAnsi"/>
                <w:sz w:val="20"/>
                <w:szCs w:val="20"/>
              </w:rPr>
            </w:pPr>
            <w:r>
              <w:rPr>
                <w:rFonts w:asciiTheme="minorHAnsi" w:hAnsiTheme="minorHAnsi"/>
                <w:sz w:val="20"/>
              </w:rPr>
              <w:t>Media</w:t>
            </w:r>
          </w:p>
        </w:tc>
        <w:tc>
          <w:tcPr>
            <w:tcW w:w="5762" w:type="dxa"/>
            <w:gridSpan w:val="2"/>
            <w:tcBorders>
              <w:top w:val="nil"/>
              <w:left w:val="nil"/>
              <w:bottom w:val="nil"/>
              <w:right w:val="nil"/>
            </w:tcBorders>
          </w:tcPr>
          <w:p w14:paraId="5584ECA8" w14:textId="77777777" w:rsidR="00565591" w:rsidRPr="00565591" w:rsidRDefault="00565591" w:rsidP="009D10E7">
            <w:pPr>
              <w:pStyle w:val="Prrafodelista"/>
              <w:ind w:left="0"/>
              <w:jc w:val="center"/>
              <w:outlineLvl w:val="2"/>
              <w:rPr>
                <w:rFonts w:asciiTheme="minorHAnsi" w:hAnsiTheme="minorHAnsi"/>
                <w:sz w:val="20"/>
                <w:szCs w:val="20"/>
              </w:rPr>
            </w:pPr>
            <w:r>
              <w:rPr>
                <w:rFonts w:asciiTheme="minorHAnsi" w:hAnsiTheme="minorHAnsi"/>
                <w:sz w:val="20"/>
              </w:rPr>
              <w:t>22.41</w:t>
            </w:r>
          </w:p>
        </w:tc>
      </w:tr>
      <w:tr w:rsidR="00565591" w:rsidRPr="00565591" w14:paraId="516EBFA7" w14:textId="77777777" w:rsidTr="009D10E7">
        <w:tc>
          <w:tcPr>
            <w:tcW w:w="3203" w:type="dxa"/>
            <w:tcBorders>
              <w:top w:val="nil"/>
              <w:left w:val="nil"/>
              <w:bottom w:val="nil"/>
              <w:right w:val="nil"/>
            </w:tcBorders>
          </w:tcPr>
          <w:p w14:paraId="77762273" w14:textId="77777777" w:rsidR="00565591" w:rsidRPr="00565591" w:rsidRDefault="00565591" w:rsidP="009D10E7">
            <w:pPr>
              <w:pStyle w:val="Prrafodelista"/>
              <w:ind w:left="0"/>
              <w:jc w:val="center"/>
              <w:outlineLvl w:val="2"/>
              <w:rPr>
                <w:rFonts w:asciiTheme="minorHAnsi" w:hAnsiTheme="minorHAnsi"/>
                <w:sz w:val="20"/>
                <w:szCs w:val="20"/>
              </w:rPr>
            </w:pPr>
            <w:r>
              <w:rPr>
                <w:rFonts w:asciiTheme="minorHAnsi" w:hAnsiTheme="minorHAnsi"/>
                <w:sz w:val="20"/>
              </w:rPr>
              <w:t>Desviación típica</w:t>
            </w:r>
          </w:p>
        </w:tc>
        <w:tc>
          <w:tcPr>
            <w:tcW w:w="5762" w:type="dxa"/>
            <w:gridSpan w:val="2"/>
            <w:tcBorders>
              <w:top w:val="nil"/>
              <w:left w:val="nil"/>
              <w:bottom w:val="nil"/>
              <w:right w:val="nil"/>
            </w:tcBorders>
          </w:tcPr>
          <w:p w14:paraId="0A148CEB" w14:textId="77777777" w:rsidR="00565591" w:rsidRPr="00565591" w:rsidRDefault="00565591" w:rsidP="009D10E7">
            <w:pPr>
              <w:pStyle w:val="Prrafodelista"/>
              <w:ind w:left="0"/>
              <w:jc w:val="center"/>
              <w:outlineLvl w:val="2"/>
              <w:rPr>
                <w:rFonts w:asciiTheme="minorHAnsi" w:hAnsiTheme="minorHAnsi"/>
                <w:sz w:val="20"/>
                <w:szCs w:val="20"/>
              </w:rPr>
            </w:pPr>
            <w:r>
              <w:rPr>
                <w:rFonts w:asciiTheme="minorHAnsi" w:hAnsiTheme="minorHAnsi"/>
                <w:sz w:val="20"/>
              </w:rPr>
              <w:t>5.555</w:t>
            </w:r>
          </w:p>
        </w:tc>
      </w:tr>
      <w:tr w:rsidR="00565591" w:rsidRPr="00565591" w14:paraId="4CED925F" w14:textId="77777777" w:rsidTr="009D10E7">
        <w:tc>
          <w:tcPr>
            <w:tcW w:w="3203" w:type="dxa"/>
            <w:tcBorders>
              <w:top w:val="nil"/>
              <w:left w:val="nil"/>
              <w:bottom w:val="single" w:sz="4" w:space="0" w:color="auto"/>
              <w:right w:val="nil"/>
            </w:tcBorders>
          </w:tcPr>
          <w:p w14:paraId="20BB50EC" w14:textId="77777777" w:rsidR="00565591" w:rsidRPr="00565591" w:rsidRDefault="00565591" w:rsidP="009D10E7">
            <w:pPr>
              <w:pStyle w:val="Prrafodelista"/>
              <w:ind w:left="0"/>
              <w:jc w:val="center"/>
              <w:outlineLvl w:val="2"/>
              <w:rPr>
                <w:rFonts w:asciiTheme="minorHAnsi" w:hAnsiTheme="minorHAnsi"/>
                <w:sz w:val="20"/>
                <w:szCs w:val="20"/>
              </w:rPr>
            </w:pPr>
            <w:r>
              <w:rPr>
                <w:rFonts w:asciiTheme="minorHAnsi" w:hAnsiTheme="minorHAnsi"/>
                <w:sz w:val="20"/>
              </w:rPr>
              <w:t>Mediana</w:t>
            </w:r>
          </w:p>
        </w:tc>
        <w:tc>
          <w:tcPr>
            <w:tcW w:w="5762" w:type="dxa"/>
            <w:gridSpan w:val="2"/>
            <w:tcBorders>
              <w:top w:val="nil"/>
              <w:left w:val="nil"/>
              <w:bottom w:val="single" w:sz="4" w:space="0" w:color="auto"/>
              <w:right w:val="nil"/>
            </w:tcBorders>
          </w:tcPr>
          <w:p w14:paraId="4D1C2CC0" w14:textId="77777777" w:rsidR="00565591" w:rsidRPr="00565591" w:rsidRDefault="00565591" w:rsidP="009D10E7">
            <w:pPr>
              <w:pStyle w:val="Prrafodelista"/>
              <w:ind w:left="0"/>
              <w:jc w:val="center"/>
              <w:outlineLvl w:val="2"/>
              <w:rPr>
                <w:rFonts w:asciiTheme="minorHAnsi" w:hAnsiTheme="minorHAnsi"/>
                <w:sz w:val="20"/>
                <w:szCs w:val="20"/>
              </w:rPr>
            </w:pPr>
            <w:r>
              <w:rPr>
                <w:rFonts w:asciiTheme="minorHAnsi" w:hAnsiTheme="minorHAnsi"/>
                <w:sz w:val="20"/>
              </w:rPr>
              <w:t>21.50</w:t>
            </w:r>
          </w:p>
        </w:tc>
      </w:tr>
    </w:tbl>
    <w:p w14:paraId="5115316F" w14:textId="77777777" w:rsidR="00565591" w:rsidRPr="00565591" w:rsidRDefault="00565591" w:rsidP="00565591">
      <w:pPr>
        <w:ind w:firstLine="0"/>
        <w:contextualSpacing/>
        <w:outlineLvl w:val="2"/>
        <w:rPr>
          <w:rFonts w:asciiTheme="minorHAnsi" w:hAnsiTheme="minorHAnsi"/>
          <w:b/>
          <w:szCs w:val="22"/>
        </w:rPr>
      </w:pPr>
      <w:r>
        <w:rPr>
          <w:rFonts w:asciiTheme="minorHAnsi" w:hAnsiTheme="minorHAnsi"/>
          <w:i/>
          <w:sz w:val="20"/>
        </w:rPr>
        <w:t>Nota.</w:t>
      </w:r>
      <w:r>
        <w:rPr>
          <w:rFonts w:asciiTheme="minorHAnsi" w:hAnsiTheme="minorHAnsi"/>
          <w:sz w:val="20"/>
        </w:rPr>
        <w:t xml:space="preserve"> </w:t>
      </w:r>
      <w:r>
        <w:rPr>
          <w:rFonts w:asciiTheme="minorHAnsi" w:hAnsiTheme="minorHAnsi"/>
        </w:rPr>
        <w:t>A partir de esta investigación, los resultados de las encuestas realizadas en 2022</w:t>
      </w:r>
    </w:p>
    <w:p w14:paraId="351650E2" w14:textId="77777777" w:rsidR="00565591" w:rsidRPr="00565591" w:rsidRDefault="00565591" w:rsidP="00565591">
      <w:pPr>
        <w:ind w:firstLine="0"/>
        <w:outlineLvl w:val="2"/>
        <w:rPr>
          <w:rFonts w:asciiTheme="minorHAnsi" w:hAnsiTheme="minorHAnsi"/>
          <w:sz w:val="20"/>
          <w:szCs w:val="20"/>
        </w:rPr>
      </w:pPr>
    </w:p>
    <w:p w14:paraId="3429B49C" w14:textId="77777777" w:rsidR="00565591" w:rsidRPr="00565591" w:rsidRDefault="00565591" w:rsidP="00565591">
      <w:pPr>
        <w:ind w:firstLine="709"/>
        <w:contextualSpacing/>
        <w:outlineLvl w:val="2"/>
        <w:rPr>
          <w:rFonts w:asciiTheme="minorHAnsi" w:hAnsiTheme="minorHAnsi"/>
          <w:sz w:val="24"/>
        </w:rPr>
      </w:pPr>
      <w:r>
        <w:rPr>
          <w:rFonts w:asciiTheme="minorHAnsi" w:hAnsiTheme="minorHAnsi"/>
          <w:sz w:val="24"/>
        </w:rPr>
        <w:t>En cuanto a otras características sociales, los resultados mostraron que entre los 456 jóvenes rurales encuestados, 230 jóvenes (50,4%) eran mujeres, mientras que 226 de ellos (49,6%) eran hombres. La distribución del nivel educativo revela que 262 jóvenes encuestados (57,5%) han alcanzado la educación secundaria, 125 jóvenes (27,4%) no han pasado del nivel primario, 55 jóvenes encuestados (12, 1%) eran analfabetos (no fueron a la escuela) y 14 jóvenes entre los encuestados (3,1%) tenían nivel universitario. En cuanto al estado civil de los jóvenes, observamos que más de la mitad de ellos (55,5%) eran solteros, mientras que el 39,7% estaban casados, el 3,9% divorciados y sólo el 0,4% eran viudos.</w:t>
      </w:r>
    </w:p>
    <w:p w14:paraId="43EC96FE" w14:textId="77777777" w:rsidR="00565591" w:rsidRPr="00565591" w:rsidRDefault="00565591" w:rsidP="00565591">
      <w:pPr>
        <w:ind w:firstLine="709"/>
        <w:contextualSpacing/>
        <w:outlineLvl w:val="2"/>
        <w:rPr>
          <w:rFonts w:asciiTheme="minorHAnsi" w:hAnsiTheme="minorHAnsi"/>
          <w:sz w:val="24"/>
        </w:rPr>
      </w:pPr>
    </w:p>
    <w:p w14:paraId="66697440" w14:textId="77777777" w:rsidR="00565591" w:rsidRDefault="00565591" w:rsidP="00565591">
      <w:pPr>
        <w:ind w:firstLine="0"/>
        <w:contextualSpacing/>
        <w:outlineLvl w:val="2"/>
        <w:rPr>
          <w:rFonts w:asciiTheme="minorHAnsi" w:hAnsiTheme="minorHAnsi"/>
          <w:b/>
          <w:i/>
          <w:iCs/>
          <w:sz w:val="24"/>
        </w:rPr>
      </w:pPr>
      <w:r>
        <w:rPr>
          <w:rFonts w:asciiTheme="minorHAnsi" w:hAnsiTheme="minorHAnsi"/>
          <w:b/>
          <w:i/>
          <w:sz w:val="24"/>
        </w:rPr>
        <w:t>Actitudes de los jóvenes rurales hacia la agroindustria</w:t>
      </w:r>
    </w:p>
    <w:p w14:paraId="6B72DB79" w14:textId="77777777" w:rsidR="00565591" w:rsidRPr="00565591" w:rsidRDefault="00565591" w:rsidP="00565591">
      <w:pPr>
        <w:ind w:firstLine="0"/>
        <w:contextualSpacing/>
        <w:outlineLvl w:val="2"/>
        <w:rPr>
          <w:rFonts w:asciiTheme="minorHAnsi" w:hAnsiTheme="minorHAnsi"/>
          <w:i/>
          <w:iCs/>
          <w:sz w:val="24"/>
        </w:rPr>
      </w:pPr>
    </w:p>
    <w:p w14:paraId="769D9D41" w14:textId="5909F572" w:rsidR="00565591" w:rsidRDefault="00565591" w:rsidP="00565591">
      <w:pPr>
        <w:ind w:firstLine="709"/>
        <w:contextualSpacing/>
        <w:outlineLvl w:val="2"/>
        <w:rPr>
          <w:rFonts w:asciiTheme="minorHAnsi" w:hAnsiTheme="minorHAnsi"/>
          <w:sz w:val="24"/>
        </w:rPr>
      </w:pPr>
      <w:r>
        <w:rPr>
          <w:rFonts w:asciiTheme="minorHAnsi" w:hAnsiTheme="minorHAnsi"/>
          <w:sz w:val="24"/>
        </w:rPr>
        <w:t xml:space="preserve">La Figura 2 indica claramente que de los 456 jóvenes rurales que respondieron a la encuesta, 244 de ellos (53,5%) muestran una actitud negativa hacia la agroindustria, 136 jóvenes (29,8%) muestran una actitud neutra y sólo 76 jóvenes (16,7%) muestran una actitud positiva. </w:t>
      </w:r>
    </w:p>
    <w:p w14:paraId="5FD1880A" w14:textId="77777777" w:rsidR="006F1472" w:rsidRDefault="006F1472" w:rsidP="006F1472">
      <w:pPr>
        <w:ind w:firstLine="0"/>
        <w:contextualSpacing/>
        <w:outlineLvl w:val="2"/>
        <w:rPr>
          <w:rFonts w:asciiTheme="minorHAnsi" w:hAnsiTheme="minorHAnsi"/>
          <w:sz w:val="24"/>
        </w:rPr>
      </w:pPr>
    </w:p>
    <w:p w14:paraId="05549FA2" w14:textId="77777777" w:rsidR="00565591" w:rsidRPr="00565591" w:rsidRDefault="00565591" w:rsidP="00565591">
      <w:pPr>
        <w:ind w:firstLine="0"/>
        <w:contextualSpacing/>
        <w:outlineLvl w:val="2"/>
        <w:rPr>
          <w:rFonts w:asciiTheme="minorHAnsi" w:hAnsiTheme="minorHAnsi"/>
          <w:b/>
          <w:sz w:val="24"/>
        </w:rPr>
      </w:pPr>
      <w:r>
        <w:rPr>
          <w:rFonts w:asciiTheme="minorHAnsi" w:hAnsiTheme="minorHAnsi"/>
          <w:b/>
          <w:sz w:val="24"/>
        </w:rPr>
        <w:t>Figura 2</w:t>
      </w:r>
    </w:p>
    <w:p w14:paraId="6E203023" w14:textId="3D7324B9" w:rsidR="00565591" w:rsidRPr="00565591" w:rsidRDefault="00565591" w:rsidP="00565591">
      <w:pPr>
        <w:ind w:firstLine="0"/>
        <w:contextualSpacing/>
        <w:outlineLvl w:val="2"/>
        <w:rPr>
          <w:rFonts w:asciiTheme="minorHAnsi" w:hAnsiTheme="minorHAnsi"/>
          <w:bCs/>
          <w:i/>
          <w:iCs/>
          <w:sz w:val="24"/>
        </w:rPr>
      </w:pPr>
      <w:r>
        <w:rPr>
          <w:rFonts w:asciiTheme="minorHAnsi" w:hAnsiTheme="minorHAnsi"/>
          <w:i/>
          <w:sz w:val="24"/>
        </w:rPr>
        <w:t>Actitud de los jóvenes rurales hacia la agricultura como profesión</w:t>
      </w:r>
    </w:p>
    <w:p w14:paraId="5A17B413" w14:textId="77777777" w:rsidR="00565591" w:rsidRDefault="00565591" w:rsidP="00565591">
      <w:pPr>
        <w:ind w:firstLine="0"/>
        <w:contextualSpacing/>
        <w:outlineLvl w:val="2"/>
        <w:rPr>
          <w:rFonts w:asciiTheme="minorHAnsi" w:hAnsiTheme="minorHAnsi"/>
          <w:sz w:val="24"/>
        </w:rPr>
      </w:pPr>
    </w:p>
    <w:p w14:paraId="4CAF69DC" w14:textId="440CAD80" w:rsidR="00565591" w:rsidRDefault="00565591" w:rsidP="00565591">
      <w:pPr>
        <w:ind w:firstLine="709"/>
        <w:contextualSpacing/>
        <w:jc w:val="center"/>
        <w:outlineLvl w:val="2"/>
        <w:rPr>
          <w:rFonts w:asciiTheme="minorHAnsi" w:hAnsiTheme="minorHAnsi"/>
          <w:sz w:val="24"/>
        </w:rPr>
      </w:pPr>
      <w:r>
        <w:rPr>
          <w:rFonts w:asciiTheme="minorHAnsi" w:hAnsiTheme="minorHAnsi"/>
          <w:noProof/>
          <w:lang w:val="es-MX" w:eastAsia="es-MX"/>
        </w:rPr>
        <w:drawing>
          <wp:inline distT="0" distB="0" distL="0" distR="0" wp14:anchorId="3568D367" wp14:editId="5E877C7B">
            <wp:extent cx="3419597" cy="2739975"/>
            <wp:effectExtent l="12700" t="12700" r="9525" b="165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468360" cy="2779046"/>
                    </a:xfrm>
                    <a:prstGeom prst="rect">
                      <a:avLst/>
                    </a:prstGeom>
                    <a:ln>
                      <a:solidFill>
                        <a:schemeClr val="accent1"/>
                      </a:solidFill>
                    </a:ln>
                  </pic:spPr>
                </pic:pic>
              </a:graphicData>
            </a:graphic>
          </wp:inline>
        </w:drawing>
      </w:r>
    </w:p>
    <w:p w14:paraId="21312306" w14:textId="7FC0ED63" w:rsidR="00565591" w:rsidRPr="00565591" w:rsidRDefault="00565591" w:rsidP="00565591">
      <w:pPr>
        <w:ind w:firstLine="0"/>
        <w:contextualSpacing/>
        <w:outlineLvl w:val="2"/>
        <w:rPr>
          <w:rFonts w:asciiTheme="minorHAnsi" w:hAnsiTheme="minorHAnsi"/>
          <w:iCs/>
          <w:sz w:val="20"/>
          <w:szCs w:val="20"/>
        </w:rPr>
      </w:pPr>
      <w:r>
        <w:rPr>
          <w:rFonts w:asciiTheme="minorHAnsi" w:hAnsiTheme="minorHAnsi"/>
          <w:i/>
          <w:sz w:val="20"/>
        </w:rPr>
        <w:t>Nota</w:t>
      </w:r>
      <w:r>
        <w:rPr>
          <w:rFonts w:asciiTheme="minorHAnsi" w:hAnsiTheme="minorHAnsi"/>
          <w:sz w:val="20"/>
        </w:rPr>
        <w:t>. Resultados de las encuestas realizadas en 2022.</w:t>
      </w:r>
    </w:p>
    <w:p w14:paraId="4B498C1E" w14:textId="77777777" w:rsidR="00565591" w:rsidRDefault="00565591" w:rsidP="00565591">
      <w:pPr>
        <w:ind w:firstLine="0"/>
        <w:contextualSpacing/>
        <w:outlineLvl w:val="2"/>
        <w:rPr>
          <w:rFonts w:asciiTheme="minorHAnsi" w:hAnsiTheme="minorHAnsi"/>
          <w:b/>
          <w:szCs w:val="22"/>
        </w:rPr>
      </w:pPr>
    </w:p>
    <w:p w14:paraId="751964BC" w14:textId="77777777" w:rsidR="00565591" w:rsidRDefault="00565591" w:rsidP="00565591">
      <w:pPr>
        <w:ind w:firstLine="0"/>
        <w:outlineLvl w:val="2"/>
        <w:rPr>
          <w:rFonts w:asciiTheme="minorHAnsi" w:hAnsiTheme="minorHAnsi"/>
          <w:b/>
          <w:sz w:val="24"/>
        </w:rPr>
      </w:pPr>
      <w:r>
        <w:rPr>
          <w:rFonts w:asciiTheme="minorHAnsi" w:hAnsiTheme="minorHAnsi"/>
          <w:b/>
          <w:sz w:val="24"/>
        </w:rPr>
        <w:lastRenderedPageBreak/>
        <w:t xml:space="preserve">Análisis detallado de las percepciones de los jóvenes rurales sobre la agroindustria </w:t>
      </w:r>
    </w:p>
    <w:p w14:paraId="6A3A6C0B" w14:textId="77777777" w:rsidR="00565591" w:rsidRPr="00565591" w:rsidRDefault="00565591" w:rsidP="00565591">
      <w:pPr>
        <w:ind w:firstLine="709"/>
        <w:rPr>
          <w:rFonts w:asciiTheme="minorHAnsi" w:hAnsiTheme="minorHAnsi"/>
          <w:b/>
          <w:sz w:val="24"/>
        </w:rPr>
      </w:pPr>
      <w:r>
        <w:rPr>
          <w:rFonts w:asciiTheme="minorHAnsi" w:hAnsiTheme="minorHAnsi"/>
          <w:sz w:val="24"/>
        </w:rPr>
        <w:t>El análisis detallado de las percepciones de los jóvenes rurales respecto a la agroindustria como profesión se llevó a cabo mediante afirmaciones agrupadas en tres categorías: percepciones económicas, personales y sociales (véase la Tabla 2).</w:t>
      </w:r>
      <w:r>
        <w:rPr>
          <w:rFonts w:asciiTheme="minorHAnsi" w:hAnsiTheme="minorHAnsi"/>
          <w:b/>
          <w:sz w:val="24"/>
        </w:rPr>
        <w:t xml:space="preserve"> </w:t>
      </w:r>
    </w:p>
    <w:p w14:paraId="5E4FC3A0" w14:textId="77777777" w:rsidR="00565591" w:rsidRPr="00565591" w:rsidRDefault="00565591" w:rsidP="00565591">
      <w:pPr>
        <w:ind w:firstLine="709"/>
        <w:rPr>
          <w:rFonts w:asciiTheme="minorHAnsi" w:hAnsiTheme="minorHAnsi"/>
          <w:b/>
          <w:sz w:val="24"/>
        </w:rPr>
      </w:pPr>
    </w:p>
    <w:p w14:paraId="48D65035" w14:textId="77777777" w:rsidR="00565591" w:rsidRPr="00D10A18" w:rsidRDefault="00565591" w:rsidP="00565591">
      <w:pPr>
        <w:ind w:firstLine="0"/>
        <w:contextualSpacing/>
        <w:outlineLvl w:val="2"/>
        <w:rPr>
          <w:rFonts w:asciiTheme="minorHAnsi" w:hAnsiTheme="minorHAnsi"/>
          <w:b/>
          <w:sz w:val="24"/>
        </w:rPr>
      </w:pPr>
      <w:r>
        <w:rPr>
          <w:rFonts w:asciiTheme="minorHAnsi" w:hAnsiTheme="minorHAnsi"/>
          <w:b/>
          <w:sz w:val="24"/>
        </w:rPr>
        <w:t>Cuadro 2</w:t>
      </w:r>
    </w:p>
    <w:p w14:paraId="60CFDFF6" w14:textId="77777777" w:rsidR="00565591" w:rsidRPr="00565591" w:rsidRDefault="00565591" w:rsidP="00565591">
      <w:pPr>
        <w:ind w:firstLine="0"/>
        <w:contextualSpacing/>
        <w:outlineLvl w:val="2"/>
        <w:rPr>
          <w:rFonts w:asciiTheme="minorHAnsi" w:hAnsiTheme="minorHAnsi"/>
          <w:i/>
          <w:sz w:val="24"/>
        </w:rPr>
      </w:pPr>
      <w:r>
        <w:rPr>
          <w:rFonts w:asciiTheme="minorHAnsi" w:hAnsiTheme="minorHAnsi"/>
          <w:i/>
          <w:sz w:val="24"/>
        </w:rPr>
        <w:t>Análisis detallado de las percepciones de los jóvenes rurales sobre la agroindustria como profesión</w:t>
      </w:r>
    </w:p>
    <w:p w14:paraId="21CFD0FD" w14:textId="77777777" w:rsidR="00565591" w:rsidRPr="00565591" w:rsidRDefault="00565591" w:rsidP="00565591">
      <w:pPr>
        <w:ind w:firstLine="0"/>
        <w:contextualSpacing/>
        <w:outlineLvl w:val="2"/>
        <w:rPr>
          <w:rFonts w:asciiTheme="minorHAnsi" w:hAnsiTheme="minorHAnsi"/>
          <w:i/>
          <w:sz w:val="24"/>
        </w:rPr>
      </w:pPr>
    </w:p>
    <w:tbl>
      <w:tblPr>
        <w:tblStyle w:val="Tablaconcuadrcula"/>
        <w:tblW w:w="9209" w:type="dxa"/>
        <w:tblBorders>
          <w:left w:val="none" w:sz="0" w:space="0" w:color="auto"/>
          <w:right w:val="none" w:sz="0" w:space="0" w:color="auto"/>
          <w:insideV w:val="none" w:sz="0" w:space="0" w:color="auto"/>
        </w:tblBorders>
        <w:tblLook w:val="04A0" w:firstRow="1" w:lastRow="0" w:firstColumn="1" w:lastColumn="0" w:noHBand="0" w:noVBand="1"/>
      </w:tblPr>
      <w:tblGrid>
        <w:gridCol w:w="437"/>
        <w:gridCol w:w="1831"/>
        <w:gridCol w:w="570"/>
        <w:gridCol w:w="609"/>
        <w:gridCol w:w="542"/>
        <w:gridCol w:w="559"/>
        <w:gridCol w:w="420"/>
        <w:gridCol w:w="559"/>
        <w:gridCol w:w="542"/>
        <w:gridCol w:w="559"/>
        <w:gridCol w:w="576"/>
        <w:gridCol w:w="601"/>
        <w:gridCol w:w="652"/>
        <w:gridCol w:w="752"/>
      </w:tblGrid>
      <w:tr w:rsidR="00565591" w:rsidRPr="00565591" w14:paraId="62947660" w14:textId="77777777" w:rsidTr="009D10E7">
        <w:tc>
          <w:tcPr>
            <w:tcW w:w="453" w:type="dxa"/>
            <w:vMerge w:val="restart"/>
            <w:vAlign w:val="center"/>
          </w:tcPr>
          <w:p w14:paraId="3C912D9C" w14:textId="77777777" w:rsidR="00565591" w:rsidRPr="00565591" w:rsidRDefault="00565591" w:rsidP="009D10E7">
            <w:pPr>
              <w:ind w:firstLine="0"/>
              <w:contextualSpacing/>
              <w:jc w:val="center"/>
              <w:outlineLvl w:val="2"/>
              <w:rPr>
                <w:rFonts w:asciiTheme="minorHAnsi" w:hAnsiTheme="minorHAnsi"/>
                <w:b/>
                <w:sz w:val="18"/>
                <w:szCs w:val="18"/>
              </w:rPr>
            </w:pPr>
            <w:r>
              <w:rPr>
                <w:rFonts w:asciiTheme="minorHAnsi" w:hAnsiTheme="minorHAnsi"/>
                <w:b/>
                <w:sz w:val="18"/>
              </w:rPr>
              <w:t>N°</w:t>
            </w:r>
          </w:p>
        </w:tc>
        <w:tc>
          <w:tcPr>
            <w:tcW w:w="2094" w:type="dxa"/>
            <w:vMerge w:val="restart"/>
            <w:vAlign w:val="center"/>
          </w:tcPr>
          <w:p w14:paraId="288FA040" w14:textId="77777777" w:rsidR="00565591" w:rsidRPr="00565591" w:rsidRDefault="00565591" w:rsidP="009D10E7">
            <w:pPr>
              <w:ind w:firstLine="0"/>
              <w:contextualSpacing/>
              <w:jc w:val="center"/>
              <w:outlineLvl w:val="2"/>
              <w:rPr>
                <w:rFonts w:asciiTheme="minorHAnsi" w:hAnsiTheme="minorHAnsi"/>
                <w:b/>
                <w:sz w:val="18"/>
                <w:szCs w:val="18"/>
              </w:rPr>
            </w:pPr>
            <w:r>
              <w:rPr>
                <w:rFonts w:asciiTheme="minorHAnsi" w:hAnsiTheme="minorHAnsi"/>
                <w:b/>
                <w:sz w:val="18"/>
              </w:rPr>
              <w:t>Declaraciones</w:t>
            </w:r>
          </w:p>
        </w:tc>
        <w:tc>
          <w:tcPr>
            <w:tcW w:w="5330" w:type="dxa"/>
            <w:gridSpan w:val="10"/>
            <w:vAlign w:val="center"/>
          </w:tcPr>
          <w:p w14:paraId="29038447" w14:textId="77777777" w:rsidR="00565591" w:rsidRPr="00565591" w:rsidRDefault="00565591" w:rsidP="009D10E7">
            <w:pPr>
              <w:ind w:firstLine="0"/>
              <w:contextualSpacing/>
              <w:jc w:val="center"/>
              <w:outlineLvl w:val="2"/>
              <w:rPr>
                <w:rFonts w:asciiTheme="minorHAnsi" w:hAnsiTheme="minorHAnsi"/>
                <w:b/>
                <w:sz w:val="18"/>
                <w:szCs w:val="18"/>
              </w:rPr>
            </w:pPr>
            <w:r>
              <w:rPr>
                <w:rFonts w:asciiTheme="minorHAnsi" w:hAnsiTheme="minorHAnsi"/>
                <w:b/>
                <w:sz w:val="18"/>
              </w:rPr>
              <w:t>Respuestas (N=456)</w:t>
            </w:r>
          </w:p>
        </w:tc>
        <w:tc>
          <w:tcPr>
            <w:tcW w:w="621" w:type="dxa"/>
            <w:vMerge w:val="restart"/>
            <w:vAlign w:val="center"/>
          </w:tcPr>
          <w:p w14:paraId="06F66725" w14:textId="77777777" w:rsidR="00565591" w:rsidRPr="00565591" w:rsidRDefault="00565591" w:rsidP="009D10E7">
            <w:pPr>
              <w:ind w:firstLine="0"/>
              <w:contextualSpacing/>
              <w:jc w:val="center"/>
              <w:outlineLvl w:val="2"/>
              <w:rPr>
                <w:rFonts w:asciiTheme="minorHAnsi" w:hAnsiTheme="minorHAnsi"/>
                <w:b/>
                <w:sz w:val="18"/>
                <w:szCs w:val="18"/>
              </w:rPr>
            </w:pPr>
            <w:r>
              <w:rPr>
                <w:rFonts w:asciiTheme="minorHAnsi" w:hAnsiTheme="minorHAnsi"/>
                <w:b/>
                <w:sz w:val="18"/>
              </w:rPr>
              <w:t>MS</w:t>
            </w:r>
          </w:p>
        </w:tc>
        <w:tc>
          <w:tcPr>
            <w:tcW w:w="711" w:type="dxa"/>
            <w:vMerge w:val="restart"/>
            <w:vAlign w:val="center"/>
          </w:tcPr>
          <w:p w14:paraId="35DFB7A1" w14:textId="77777777" w:rsidR="00565591" w:rsidRPr="00565591" w:rsidRDefault="00565591" w:rsidP="009D10E7">
            <w:pPr>
              <w:ind w:firstLine="0"/>
              <w:contextualSpacing/>
              <w:jc w:val="center"/>
              <w:outlineLvl w:val="2"/>
              <w:rPr>
                <w:rFonts w:asciiTheme="minorHAnsi" w:hAnsiTheme="minorHAnsi"/>
                <w:b/>
                <w:sz w:val="18"/>
                <w:szCs w:val="18"/>
              </w:rPr>
            </w:pPr>
            <w:r>
              <w:rPr>
                <w:rFonts w:asciiTheme="minorHAnsi" w:hAnsiTheme="minorHAnsi"/>
                <w:b/>
                <w:sz w:val="18"/>
              </w:rPr>
              <w:t>SD</w:t>
            </w:r>
          </w:p>
        </w:tc>
      </w:tr>
      <w:tr w:rsidR="00565591" w:rsidRPr="00565591" w14:paraId="11BF7084" w14:textId="77777777" w:rsidTr="009D10E7">
        <w:tc>
          <w:tcPr>
            <w:tcW w:w="453" w:type="dxa"/>
            <w:vMerge/>
            <w:vAlign w:val="center"/>
          </w:tcPr>
          <w:p w14:paraId="748E2760" w14:textId="77777777" w:rsidR="00565591" w:rsidRPr="00565591" w:rsidRDefault="00565591" w:rsidP="009D10E7">
            <w:pPr>
              <w:ind w:firstLine="0"/>
              <w:contextualSpacing/>
              <w:jc w:val="center"/>
              <w:outlineLvl w:val="2"/>
              <w:rPr>
                <w:rFonts w:asciiTheme="minorHAnsi" w:hAnsiTheme="minorHAnsi"/>
                <w:b/>
                <w:sz w:val="18"/>
                <w:szCs w:val="18"/>
              </w:rPr>
            </w:pPr>
          </w:p>
        </w:tc>
        <w:tc>
          <w:tcPr>
            <w:tcW w:w="2094" w:type="dxa"/>
            <w:vMerge/>
            <w:vAlign w:val="center"/>
          </w:tcPr>
          <w:p w14:paraId="0C897A4D" w14:textId="77777777" w:rsidR="00565591" w:rsidRPr="00565591" w:rsidRDefault="00565591" w:rsidP="009D10E7">
            <w:pPr>
              <w:ind w:firstLine="0"/>
              <w:contextualSpacing/>
              <w:jc w:val="center"/>
              <w:outlineLvl w:val="2"/>
              <w:rPr>
                <w:rFonts w:asciiTheme="minorHAnsi" w:hAnsiTheme="minorHAnsi"/>
                <w:b/>
                <w:sz w:val="18"/>
                <w:szCs w:val="18"/>
              </w:rPr>
            </w:pPr>
          </w:p>
        </w:tc>
        <w:tc>
          <w:tcPr>
            <w:tcW w:w="1020" w:type="dxa"/>
            <w:gridSpan w:val="2"/>
            <w:vAlign w:val="center"/>
          </w:tcPr>
          <w:p w14:paraId="11258928" w14:textId="77777777" w:rsidR="00565591" w:rsidRPr="00565591" w:rsidRDefault="00565591" w:rsidP="009D10E7">
            <w:pPr>
              <w:ind w:firstLine="0"/>
              <w:contextualSpacing/>
              <w:jc w:val="center"/>
              <w:outlineLvl w:val="2"/>
              <w:rPr>
                <w:rFonts w:asciiTheme="minorHAnsi" w:hAnsiTheme="minorHAnsi"/>
                <w:b/>
                <w:sz w:val="18"/>
                <w:szCs w:val="18"/>
              </w:rPr>
            </w:pPr>
            <w:r>
              <w:rPr>
                <w:rFonts w:asciiTheme="minorHAnsi" w:hAnsiTheme="minorHAnsi"/>
                <w:b/>
                <w:sz w:val="18"/>
              </w:rPr>
              <w:t>Totalmente en desacuerdo (1)</w:t>
            </w:r>
          </w:p>
        </w:tc>
        <w:tc>
          <w:tcPr>
            <w:tcW w:w="1125" w:type="dxa"/>
            <w:gridSpan w:val="2"/>
            <w:vAlign w:val="center"/>
          </w:tcPr>
          <w:p w14:paraId="680B8B4F" w14:textId="77777777" w:rsidR="00565591" w:rsidRPr="00565591" w:rsidRDefault="00565591" w:rsidP="009D10E7">
            <w:pPr>
              <w:ind w:firstLine="0"/>
              <w:jc w:val="center"/>
              <w:rPr>
                <w:rFonts w:asciiTheme="minorHAnsi" w:hAnsiTheme="minorHAnsi"/>
                <w:b/>
                <w:sz w:val="18"/>
                <w:szCs w:val="18"/>
              </w:rPr>
            </w:pPr>
            <w:proofErr w:type="spellStart"/>
            <w:r>
              <w:rPr>
                <w:rFonts w:asciiTheme="minorHAnsi" w:hAnsiTheme="minorHAnsi"/>
                <w:b/>
                <w:sz w:val="18"/>
              </w:rPr>
              <w:t>Desagree</w:t>
            </w:r>
            <w:proofErr w:type="spellEnd"/>
            <w:r>
              <w:rPr>
                <w:rFonts w:asciiTheme="minorHAnsi" w:hAnsiTheme="minorHAnsi"/>
                <w:b/>
                <w:sz w:val="18"/>
              </w:rPr>
              <w:t xml:space="preserve"> </w:t>
            </w:r>
          </w:p>
          <w:p w14:paraId="1DEC565A" w14:textId="77777777" w:rsidR="00565591" w:rsidRPr="00565591" w:rsidRDefault="00565591" w:rsidP="009D10E7">
            <w:pPr>
              <w:ind w:firstLine="0"/>
              <w:contextualSpacing/>
              <w:jc w:val="center"/>
              <w:outlineLvl w:val="2"/>
              <w:rPr>
                <w:rFonts w:asciiTheme="minorHAnsi" w:hAnsiTheme="minorHAnsi"/>
                <w:b/>
                <w:sz w:val="18"/>
                <w:szCs w:val="18"/>
              </w:rPr>
            </w:pPr>
            <w:r>
              <w:rPr>
                <w:rFonts w:asciiTheme="minorHAnsi" w:hAnsiTheme="minorHAnsi"/>
                <w:b/>
                <w:sz w:val="18"/>
              </w:rPr>
              <w:t>(2)</w:t>
            </w:r>
          </w:p>
        </w:tc>
        <w:tc>
          <w:tcPr>
            <w:tcW w:w="987" w:type="dxa"/>
            <w:gridSpan w:val="2"/>
            <w:vAlign w:val="center"/>
          </w:tcPr>
          <w:p w14:paraId="0EB98FD1" w14:textId="77777777" w:rsidR="00565591" w:rsidRPr="00565591" w:rsidRDefault="00565591" w:rsidP="009D10E7">
            <w:pPr>
              <w:ind w:firstLine="0"/>
              <w:contextualSpacing/>
              <w:jc w:val="center"/>
              <w:outlineLvl w:val="2"/>
              <w:rPr>
                <w:rFonts w:asciiTheme="minorHAnsi" w:hAnsiTheme="minorHAnsi"/>
                <w:b/>
                <w:sz w:val="18"/>
                <w:szCs w:val="18"/>
              </w:rPr>
            </w:pPr>
            <w:r>
              <w:rPr>
                <w:rFonts w:asciiTheme="minorHAnsi" w:hAnsiTheme="minorHAnsi"/>
                <w:b/>
                <w:sz w:val="18"/>
              </w:rPr>
              <w:t>Neutral (3)</w:t>
            </w:r>
          </w:p>
        </w:tc>
        <w:tc>
          <w:tcPr>
            <w:tcW w:w="1125" w:type="dxa"/>
            <w:gridSpan w:val="2"/>
            <w:vAlign w:val="center"/>
          </w:tcPr>
          <w:p w14:paraId="7FCF0596" w14:textId="77777777" w:rsidR="00565591" w:rsidRPr="00565591" w:rsidRDefault="00565591" w:rsidP="009D10E7">
            <w:pPr>
              <w:ind w:firstLine="0"/>
              <w:contextualSpacing/>
              <w:jc w:val="center"/>
              <w:outlineLvl w:val="2"/>
              <w:rPr>
                <w:rFonts w:asciiTheme="minorHAnsi" w:hAnsiTheme="minorHAnsi"/>
                <w:b/>
                <w:sz w:val="18"/>
                <w:szCs w:val="18"/>
              </w:rPr>
            </w:pPr>
            <w:r>
              <w:rPr>
                <w:rFonts w:asciiTheme="minorHAnsi" w:hAnsiTheme="minorHAnsi"/>
                <w:b/>
                <w:sz w:val="18"/>
              </w:rPr>
              <w:t>De acuerdo (4)</w:t>
            </w:r>
          </w:p>
        </w:tc>
        <w:tc>
          <w:tcPr>
            <w:tcW w:w="1073" w:type="dxa"/>
            <w:gridSpan w:val="2"/>
            <w:vAlign w:val="center"/>
          </w:tcPr>
          <w:p w14:paraId="44164254" w14:textId="77777777" w:rsidR="00565591" w:rsidRPr="00565591" w:rsidRDefault="00565591" w:rsidP="009D10E7">
            <w:pPr>
              <w:ind w:firstLine="0"/>
              <w:contextualSpacing/>
              <w:jc w:val="center"/>
              <w:outlineLvl w:val="2"/>
              <w:rPr>
                <w:rFonts w:asciiTheme="minorHAnsi" w:hAnsiTheme="minorHAnsi"/>
                <w:b/>
                <w:sz w:val="18"/>
                <w:szCs w:val="18"/>
              </w:rPr>
            </w:pPr>
            <w:r>
              <w:rPr>
                <w:rFonts w:asciiTheme="minorHAnsi" w:hAnsiTheme="minorHAnsi"/>
                <w:b/>
                <w:sz w:val="18"/>
              </w:rPr>
              <w:t>Totalmente de acuerdo (5)</w:t>
            </w:r>
          </w:p>
        </w:tc>
        <w:tc>
          <w:tcPr>
            <w:tcW w:w="621" w:type="dxa"/>
            <w:vMerge/>
          </w:tcPr>
          <w:p w14:paraId="24FB6DA7" w14:textId="77777777" w:rsidR="00565591" w:rsidRPr="00565591" w:rsidRDefault="00565591" w:rsidP="009D10E7">
            <w:pPr>
              <w:ind w:firstLine="0"/>
              <w:contextualSpacing/>
              <w:outlineLvl w:val="2"/>
              <w:rPr>
                <w:rFonts w:asciiTheme="minorHAnsi" w:hAnsiTheme="minorHAnsi"/>
                <w:b/>
                <w:sz w:val="18"/>
                <w:szCs w:val="18"/>
              </w:rPr>
            </w:pPr>
          </w:p>
        </w:tc>
        <w:tc>
          <w:tcPr>
            <w:tcW w:w="711" w:type="dxa"/>
            <w:vMerge/>
          </w:tcPr>
          <w:p w14:paraId="5CAA710A" w14:textId="77777777" w:rsidR="00565591" w:rsidRPr="00565591" w:rsidRDefault="00565591" w:rsidP="009D10E7">
            <w:pPr>
              <w:ind w:firstLine="0"/>
              <w:contextualSpacing/>
              <w:outlineLvl w:val="2"/>
              <w:rPr>
                <w:rFonts w:asciiTheme="minorHAnsi" w:hAnsiTheme="minorHAnsi"/>
                <w:b/>
                <w:sz w:val="18"/>
                <w:szCs w:val="18"/>
              </w:rPr>
            </w:pPr>
          </w:p>
        </w:tc>
      </w:tr>
      <w:tr w:rsidR="00565591" w:rsidRPr="00565591" w14:paraId="7FFE0ECE" w14:textId="77777777" w:rsidTr="009D10E7">
        <w:tc>
          <w:tcPr>
            <w:tcW w:w="453" w:type="dxa"/>
            <w:vMerge/>
            <w:tcBorders>
              <w:bottom w:val="single" w:sz="4" w:space="0" w:color="000000"/>
            </w:tcBorders>
            <w:vAlign w:val="center"/>
          </w:tcPr>
          <w:p w14:paraId="784C304C" w14:textId="77777777" w:rsidR="00565591" w:rsidRPr="00565591" w:rsidRDefault="00565591" w:rsidP="009D10E7">
            <w:pPr>
              <w:ind w:firstLine="0"/>
              <w:contextualSpacing/>
              <w:jc w:val="center"/>
              <w:outlineLvl w:val="2"/>
              <w:rPr>
                <w:rFonts w:asciiTheme="minorHAnsi" w:hAnsiTheme="minorHAnsi"/>
                <w:b/>
                <w:sz w:val="18"/>
                <w:szCs w:val="18"/>
              </w:rPr>
            </w:pPr>
          </w:p>
        </w:tc>
        <w:tc>
          <w:tcPr>
            <w:tcW w:w="2094" w:type="dxa"/>
            <w:vMerge/>
            <w:tcBorders>
              <w:bottom w:val="single" w:sz="4" w:space="0" w:color="000000"/>
            </w:tcBorders>
            <w:vAlign w:val="center"/>
          </w:tcPr>
          <w:p w14:paraId="1DE5C43B" w14:textId="77777777" w:rsidR="00565591" w:rsidRPr="00565591" w:rsidRDefault="00565591" w:rsidP="009D10E7">
            <w:pPr>
              <w:ind w:firstLine="0"/>
              <w:contextualSpacing/>
              <w:jc w:val="center"/>
              <w:outlineLvl w:val="2"/>
              <w:rPr>
                <w:rFonts w:asciiTheme="minorHAnsi" w:hAnsiTheme="minorHAnsi"/>
                <w:b/>
                <w:sz w:val="18"/>
                <w:szCs w:val="18"/>
              </w:rPr>
            </w:pPr>
          </w:p>
        </w:tc>
        <w:tc>
          <w:tcPr>
            <w:tcW w:w="489" w:type="dxa"/>
            <w:tcBorders>
              <w:bottom w:val="single" w:sz="4" w:space="0" w:color="000000"/>
            </w:tcBorders>
            <w:vAlign w:val="center"/>
          </w:tcPr>
          <w:p w14:paraId="12A5BF36" w14:textId="77777777" w:rsidR="00565591" w:rsidRPr="00565591" w:rsidRDefault="00565591" w:rsidP="009D10E7">
            <w:pPr>
              <w:ind w:firstLine="0"/>
              <w:contextualSpacing/>
              <w:jc w:val="center"/>
              <w:outlineLvl w:val="2"/>
              <w:rPr>
                <w:rFonts w:asciiTheme="minorHAnsi" w:hAnsiTheme="minorHAnsi"/>
                <w:b/>
                <w:sz w:val="18"/>
                <w:szCs w:val="18"/>
              </w:rPr>
            </w:pPr>
            <w:r>
              <w:rPr>
                <w:rFonts w:asciiTheme="minorHAnsi" w:hAnsiTheme="minorHAnsi"/>
                <w:b/>
                <w:sz w:val="18"/>
              </w:rPr>
              <w:t>F</w:t>
            </w:r>
          </w:p>
        </w:tc>
        <w:tc>
          <w:tcPr>
            <w:tcW w:w="531" w:type="dxa"/>
            <w:tcBorders>
              <w:bottom w:val="single" w:sz="4" w:space="0" w:color="000000"/>
            </w:tcBorders>
            <w:vAlign w:val="center"/>
          </w:tcPr>
          <w:p w14:paraId="7BA541CC" w14:textId="77777777" w:rsidR="00565591" w:rsidRPr="00565591" w:rsidRDefault="00565591" w:rsidP="009D10E7">
            <w:pPr>
              <w:ind w:firstLine="0"/>
              <w:contextualSpacing/>
              <w:jc w:val="center"/>
              <w:outlineLvl w:val="2"/>
              <w:rPr>
                <w:rFonts w:asciiTheme="minorHAnsi" w:hAnsiTheme="minorHAnsi"/>
                <w:b/>
                <w:sz w:val="18"/>
                <w:szCs w:val="18"/>
              </w:rPr>
            </w:pPr>
            <w:r>
              <w:rPr>
                <w:rFonts w:asciiTheme="minorHAnsi" w:hAnsiTheme="minorHAnsi"/>
                <w:b/>
                <w:sz w:val="18"/>
              </w:rPr>
              <w:t>%</w:t>
            </w:r>
          </w:p>
        </w:tc>
        <w:tc>
          <w:tcPr>
            <w:tcW w:w="561" w:type="dxa"/>
            <w:tcBorders>
              <w:bottom w:val="single" w:sz="4" w:space="0" w:color="000000"/>
            </w:tcBorders>
            <w:vAlign w:val="center"/>
          </w:tcPr>
          <w:p w14:paraId="0DDA1E62" w14:textId="77777777" w:rsidR="00565591" w:rsidRPr="00565591" w:rsidRDefault="00565591" w:rsidP="009D10E7">
            <w:pPr>
              <w:ind w:firstLine="0"/>
              <w:contextualSpacing/>
              <w:jc w:val="center"/>
              <w:outlineLvl w:val="2"/>
              <w:rPr>
                <w:rFonts w:asciiTheme="minorHAnsi" w:hAnsiTheme="minorHAnsi"/>
                <w:b/>
                <w:sz w:val="18"/>
                <w:szCs w:val="18"/>
              </w:rPr>
            </w:pPr>
            <w:r>
              <w:rPr>
                <w:rFonts w:asciiTheme="minorHAnsi" w:hAnsiTheme="minorHAnsi"/>
                <w:b/>
                <w:sz w:val="18"/>
              </w:rPr>
              <w:t>F</w:t>
            </w:r>
          </w:p>
        </w:tc>
        <w:tc>
          <w:tcPr>
            <w:tcW w:w="564" w:type="dxa"/>
            <w:tcBorders>
              <w:bottom w:val="single" w:sz="4" w:space="0" w:color="000000"/>
            </w:tcBorders>
            <w:vAlign w:val="center"/>
          </w:tcPr>
          <w:p w14:paraId="03CC3F0A" w14:textId="77777777" w:rsidR="00565591" w:rsidRPr="00565591" w:rsidRDefault="00565591" w:rsidP="009D10E7">
            <w:pPr>
              <w:ind w:firstLine="0"/>
              <w:contextualSpacing/>
              <w:jc w:val="center"/>
              <w:outlineLvl w:val="2"/>
              <w:rPr>
                <w:rFonts w:asciiTheme="minorHAnsi" w:hAnsiTheme="minorHAnsi"/>
                <w:b/>
                <w:sz w:val="18"/>
                <w:szCs w:val="18"/>
              </w:rPr>
            </w:pPr>
            <w:r>
              <w:rPr>
                <w:rFonts w:asciiTheme="minorHAnsi" w:hAnsiTheme="minorHAnsi"/>
                <w:b/>
                <w:sz w:val="18"/>
              </w:rPr>
              <w:t>%</w:t>
            </w:r>
          </w:p>
        </w:tc>
        <w:tc>
          <w:tcPr>
            <w:tcW w:w="423" w:type="dxa"/>
            <w:tcBorders>
              <w:bottom w:val="single" w:sz="4" w:space="0" w:color="000000"/>
            </w:tcBorders>
            <w:vAlign w:val="center"/>
          </w:tcPr>
          <w:p w14:paraId="4D9B2744" w14:textId="77777777" w:rsidR="00565591" w:rsidRPr="00565591" w:rsidRDefault="00565591" w:rsidP="009D10E7">
            <w:pPr>
              <w:ind w:firstLine="0"/>
              <w:contextualSpacing/>
              <w:jc w:val="center"/>
              <w:outlineLvl w:val="2"/>
              <w:rPr>
                <w:rFonts w:asciiTheme="minorHAnsi" w:hAnsiTheme="minorHAnsi"/>
                <w:b/>
                <w:sz w:val="18"/>
                <w:szCs w:val="18"/>
              </w:rPr>
            </w:pPr>
            <w:r>
              <w:rPr>
                <w:rFonts w:asciiTheme="minorHAnsi" w:hAnsiTheme="minorHAnsi"/>
                <w:b/>
                <w:sz w:val="18"/>
              </w:rPr>
              <w:t>F</w:t>
            </w:r>
          </w:p>
        </w:tc>
        <w:tc>
          <w:tcPr>
            <w:tcW w:w="564" w:type="dxa"/>
            <w:tcBorders>
              <w:bottom w:val="single" w:sz="4" w:space="0" w:color="000000"/>
            </w:tcBorders>
            <w:vAlign w:val="center"/>
          </w:tcPr>
          <w:p w14:paraId="543E443A" w14:textId="77777777" w:rsidR="00565591" w:rsidRPr="00565591" w:rsidRDefault="00565591" w:rsidP="009D10E7">
            <w:pPr>
              <w:ind w:firstLine="0"/>
              <w:contextualSpacing/>
              <w:jc w:val="center"/>
              <w:outlineLvl w:val="2"/>
              <w:rPr>
                <w:rFonts w:asciiTheme="minorHAnsi" w:hAnsiTheme="minorHAnsi"/>
                <w:b/>
                <w:sz w:val="18"/>
                <w:szCs w:val="18"/>
              </w:rPr>
            </w:pPr>
            <w:r>
              <w:rPr>
                <w:rFonts w:asciiTheme="minorHAnsi" w:hAnsiTheme="minorHAnsi"/>
                <w:b/>
                <w:sz w:val="18"/>
              </w:rPr>
              <w:t>%</w:t>
            </w:r>
          </w:p>
        </w:tc>
        <w:tc>
          <w:tcPr>
            <w:tcW w:w="561" w:type="dxa"/>
            <w:tcBorders>
              <w:bottom w:val="single" w:sz="4" w:space="0" w:color="000000"/>
            </w:tcBorders>
            <w:vAlign w:val="center"/>
          </w:tcPr>
          <w:p w14:paraId="73CC4DD1" w14:textId="77777777" w:rsidR="00565591" w:rsidRPr="00565591" w:rsidRDefault="00565591" w:rsidP="009D10E7">
            <w:pPr>
              <w:ind w:firstLine="0"/>
              <w:contextualSpacing/>
              <w:jc w:val="center"/>
              <w:outlineLvl w:val="2"/>
              <w:rPr>
                <w:rFonts w:asciiTheme="minorHAnsi" w:hAnsiTheme="minorHAnsi"/>
                <w:b/>
                <w:sz w:val="18"/>
                <w:szCs w:val="18"/>
              </w:rPr>
            </w:pPr>
            <w:r>
              <w:rPr>
                <w:rFonts w:asciiTheme="minorHAnsi" w:hAnsiTheme="minorHAnsi"/>
                <w:b/>
                <w:sz w:val="18"/>
              </w:rPr>
              <w:t>F</w:t>
            </w:r>
          </w:p>
        </w:tc>
        <w:tc>
          <w:tcPr>
            <w:tcW w:w="564" w:type="dxa"/>
            <w:tcBorders>
              <w:bottom w:val="single" w:sz="4" w:space="0" w:color="000000"/>
            </w:tcBorders>
            <w:vAlign w:val="center"/>
          </w:tcPr>
          <w:p w14:paraId="7FD24894" w14:textId="77777777" w:rsidR="00565591" w:rsidRPr="00565591" w:rsidRDefault="00565591" w:rsidP="009D10E7">
            <w:pPr>
              <w:ind w:firstLine="0"/>
              <w:contextualSpacing/>
              <w:jc w:val="center"/>
              <w:outlineLvl w:val="2"/>
              <w:rPr>
                <w:rFonts w:asciiTheme="minorHAnsi" w:hAnsiTheme="minorHAnsi"/>
                <w:b/>
                <w:sz w:val="18"/>
                <w:szCs w:val="18"/>
              </w:rPr>
            </w:pPr>
            <w:r>
              <w:rPr>
                <w:rFonts w:asciiTheme="minorHAnsi" w:hAnsiTheme="minorHAnsi"/>
                <w:b/>
                <w:sz w:val="18"/>
              </w:rPr>
              <w:t>%</w:t>
            </w:r>
          </w:p>
        </w:tc>
        <w:tc>
          <w:tcPr>
            <w:tcW w:w="542" w:type="dxa"/>
            <w:tcBorders>
              <w:bottom w:val="single" w:sz="4" w:space="0" w:color="000000"/>
            </w:tcBorders>
            <w:vAlign w:val="center"/>
          </w:tcPr>
          <w:p w14:paraId="41374722" w14:textId="77777777" w:rsidR="00565591" w:rsidRPr="00565591" w:rsidRDefault="00565591" w:rsidP="009D10E7">
            <w:pPr>
              <w:ind w:firstLine="0"/>
              <w:contextualSpacing/>
              <w:jc w:val="center"/>
              <w:outlineLvl w:val="2"/>
              <w:rPr>
                <w:rFonts w:asciiTheme="minorHAnsi" w:hAnsiTheme="minorHAnsi"/>
                <w:b/>
                <w:sz w:val="18"/>
                <w:szCs w:val="18"/>
              </w:rPr>
            </w:pPr>
            <w:r>
              <w:rPr>
                <w:rFonts w:asciiTheme="minorHAnsi" w:hAnsiTheme="minorHAnsi"/>
                <w:b/>
                <w:sz w:val="18"/>
              </w:rPr>
              <w:t>F</w:t>
            </w:r>
          </w:p>
        </w:tc>
        <w:tc>
          <w:tcPr>
            <w:tcW w:w="531" w:type="dxa"/>
            <w:tcBorders>
              <w:bottom w:val="single" w:sz="4" w:space="0" w:color="000000"/>
            </w:tcBorders>
            <w:vAlign w:val="center"/>
          </w:tcPr>
          <w:p w14:paraId="00B0B674" w14:textId="77777777" w:rsidR="00565591" w:rsidRPr="00565591" w:rsidRDefault="00565591" w:rsidP="009D10E7">
            <w:pPr>
              <w:ind w:firstLine="0"/>
              <w:contextualSpacing/>
              <w:jc w:val="center"/>
              <w:outlineLvl w:val="2"/>
              <w:rPr>
                <w:rFonts w:asciiTheme="minorHAnsi" w:hAnsiTheme="minorHAnsi"/>
                <w:b/>
                <w:sz w:val="18"/>
                <w:szCs w:val="18"/>
              </w:rPr>
            </w:pPr>
            <w:r>
              <w:rPr>
                <w:rFonts w:asciiTheme="minorHAnsi" w:hAnsiTheme="minorHAnsi"/>
                <w:b/>
                <w:sz w:val="18"/>
              </w:rPr>
              <w:t>%</w:t>
            </w:r>
          </w:p>
        </w:tc>
        <w:tc>
          <w:tcPr>
            <w:tcW w:w="621" w:type="dxa"/>
            <w:vMerge/>
            <w:tcBorders>
              <w:bottom w:val="single" w:sz="4" w:space="0" w:color="000000"/>
            </w:tcBorders>
          </w:tcPr>
          <w:p w14:paraId="16541E1D" w14:textId="77777777" w:rsidR="00565591" w:rsidRPr="00565591" w:rsidRDefault="00565591" w:rsidP="009D10E7">
            <w:pPr>
              <w:ind w:firstLine="0"/>
              <w:contextualSpacing/>
              <w:outlineLvl w:val="2"/>
              <w:rPr>
                <w:rFonts w:asciiTheme="minorHAnsi" w:hAnsiTheme="minorHAnsi"/>
                <w:b/>
                <w:sz w:val="18"/>
                <w:szCs w:val="18"/>
              </w:rPr>
            </w:pPr>
          </w:p>
        </w:tc>
        <w:tc>
          <w:tcPr>
            <w:tcW w:w="711" w:type="dxa"/>
            <w:vMerge/>
            <w:tcBorders>
              <w:bottom w:val="single" w:sz="4" w:space="0" w:color="000000"/>
            </w:tcBorders>
          </w:tcPr>
          <w:p w14:paraId="34140B30" w14:textId="77777777" w:rsidR="00565591" w:rsidRPr="00565591" w:rsidRDefault="00565591" w:rsidP="009D10E7">
            <w:pPr>
              <w:ind w:firstLine="0"/>
              <w:contextualSpacing/>
              <w:outlineLvl w:val="2"/>
              <w:rPr>
                <w:rFonts w:asciiTheme="minorHAnsi" w:hAnsiTheme="minorHAnsi"/>
                <w:b/>
                <w:sz w:val="18"/>
                <w:szCs w:val="18"/>
              </w:rPr>
            </w:pPr>
          </w:p>
        </w:tc>
      </w:tr>
      <w:tr w:rsidR="00565591" w:rsidRPr="00565591" w14:paraId="223D2B10" w14:textId="77777777" w:rsidTr="009D10E7">
        <w:tc>
          <w:tcPr>
            <w:tcW w:w="453" w:type="dxa"/>
            <w:tcBorders>
              <w:bottom w:val="single" w:sz="4" w:space="0" w:color="auto"/>
            </w:tcBorders>
            <w:vAlign w:val="center"/>
          </w:tcPr>
          <w:p w14:paraId="508AFFA4" w14:textId="77777777" w:rsidR="00565591" w:rsidRPr="00565591" w:rsidRDefault="00565591" w:rsidP="009D10E7">
            <w:pPr>
              <w:ind w:firstLine="0"/>
              <w:contextualSpacing/>
              <w:jc w:val="center"/>
              <w:outlineLvl w:val="2"/>
              <w:rPr>
                <w:rFonts w:asciiTheme="minorHAnsi" w:hAnsiTheme="minorHAnsi"/>
                <w:b/>
                <w:sz w:val="18"/>
                <w:szCs w:val="18"/>
              </w:rPr>
            </w:pPr>
            <w:r>
              <w:rPr>
                <w:rFonts w:asciiTheme="minorHAnsi" w:hAnsiTheme="minorHAnsi"/>
                <w:b/>
                <w:sz w:val="18"/>
              </w:rPr>
              <w:t>I</w:t>
            </w:r>
          </w:p>
        </w:tc>
        <w:tc>
          <w:tcPr>
            <w:tcW w:w="8756" w:type="dxa"/>
            <w:gridSpan w:val="13"/>
            <w:tcBorders>
              <w:bottom w:val="single" w:sz="4" w:space="0" w:color="auto"/>
            </w:tcBorders>
            <w:vAlign w:val="center"/>
          </w:tcPr>
          <w:p w14:paraId="7F7E101D" w14:textId="77777777" w:rsidR="00565591" w:rsidRPr="00565591" w:rsidRDefault="00565591" w:rsidP="009D10E7">
            <w:pPr>
              <w:ind w:firstLine="0"/>
              <w:contextualSpacing/>
              <w:jc w:val="center"/>
              <w:outlineLvl w:val="2"/>
              <w:rPr>
                <w:rFonts w:asciiTheme="minorHAnsi" w:hAnsiTheme="minorHAnsi"/>
                <w:b/>
                <w:sz w:val="18"/>
                <w:szCs w:val="18"/>
              </w:rPr>
            </w:pPr>
            <w:r>
              <w:rPr>
                <w:rFonts w:asciiTheme="minorHAnsi" w:hAnsiTheme="minorHAnsi"/>
                <w:b/>
                <w:sz w:val="18"/>
              </w:rPr>
              <w:t>Percepciones económicas</w:t>
            </w:r>
          </w:p>
        </w:tc>
      </w:tr>
      <w:tr w:rsidR="00565591" w:rsidRPr="00565591" w14:paraId="693E7B83" w14:textId="77777777" w:rsidTr="009D10E7">
        <w:tc>
          <w:tcPr>
            <w:tcW w:w="453" w:type="dxa"/>
            <w:tcBorders>
              <w:top w:val="single" w:sz="4" w:space="0" w:color="auto"/>
              <w:bottom w:val="nil"/>
            </w:tcBorders>
            <w:vAlign w:val="center"/>
          </w:tcPr>
          <w:p w14:paraId="1FA9C87A"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w:t>
            </w:r>
          </w:p>
        </w:tc>
        <w:tc>
          <w:tcPr>
            <w:tcW w:w="2094" w:type="dxa"/>
            <w:tcBorders>
              <w:top w:val="single" w:sz="4" w:space="0" w:color="auto"/>
              <w:bottom w:val="nil"/>
            </w:tcBorders>
          </w:tcPr>
          <w:p w14:paraId="4F7CA49F"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La agroindustria puede satisfacer todas mis necesidades básicas</w:t>
            </w:r>
          </w:p>
        </w:tc>
        <w:tc>
          <w:tcPr>
            <w:tcW w:w="489" w:type="dxa"/>
            <w:tcBorders>
              <w:top w:val="single" w:sz="4" w:space="0" w:color="auto"/>
              <w:bottom w:val="nil"/>
            </w:tcBorders>
            <w:vAlign w:val="center"/>
          </w:tcPr>
          <w:p w14:paraId="7BC4395B"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134</w:t>
            </w:r>
          </w:p>
        </w:tc>
        <w:tc>
          <w:tcPr>
            <w:tcW w:w="531" w:type="dxa"/>
            <w:tcBorders>
              <w:top w:val="single" w:sz="4" w:space="0" w:color="auto"/>
              <w:bottom w:val="nil"/>
            </w:tcBorders>
            <w:vAlign w:val="center"/>
          </w:tcPr>
          <w:p w14:paraId="31D950D8"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29.4</w:t>
            </w:r>
          </w:p>
        </w:tc>
        <w:tc>
          <w:tcPr>
            <w:tcW w:w="561" w:type="dxa"/>
            <w:tcBorders>
              <w:top w:val="single" w:sz="4" w:space="0" w:color="auto"/>
              <w:bottom w:val="nil"/>
            </w:tcBorders>
            <w:vAlign w:val="center"/>
          </w:tcPr>
          <w:p w14:paraId="78FF40D0"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220</w:t>
            </w:r>
          </w:p>
        </w:tc>
        <w:tc>
          <w:tcPr>
            <w:tcW w:w="564" w:type="dxa"/>
            <w:tcBorders>
              <w:top w:val="single" w:sz="4" w:space="0" w:color="auto"/>
              <w:bottom w:val="nil"/>
            </w:tcBorders>
            <w:vAlign w:val="center"/>
          </w:tcPr>
          <w:p w14:paraId="73665D4D"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48.2</w:t>
            </w:r>
          </w:p>
        </w:tc>
        <w:tc>
          <w:tcPr>
            <w:tcW w:w="423" w:type="dxa"/>
            <w:tcBorders>
              <w:top w:val="single" w:sz="4" w:space="0" w:color="auto"/>
              <w:bottom w:val="nil"/>
            </w:tcBorders>
            <w:vAlign w:val="center"/>
          </w:tcPr>
          <w:p w14:paraId="391648FC"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w:t>
            </w:r>
          </w:p>
        </w:tc>
        <w:tc>
          <w:tcPr>
            <w:tcW w:w="564" w:type="dxa"/>
            <w:tcBorders>
              <w:top w:val="single" w:sz="4" w:space="0" w:color="auto"/>
              <w:bottom w:val="nil"/>
            </w:tcBorders>
            <w:vAlign w:val="center"/>
          </w:tcPr>
          <w:p w14:paraId="26FAC8AF"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2.4</w:t>
            </w:r>
          </w:p>
        </w:tc>
        <w:tc>
          <w:tcPr>
            <w:tcW w:w="561" w:type="dxa"/>
            <w:tcBorders>
              <w:top w:val="single" w:sz="4" w:space="0" w:color="auto"/>
              <w:bottom w:val="nil"/>
            </w:tcBorders>
            <w:vAlign w:val="center"/>
          </w:tcPr>
          <w:p w14:paraId="7DF1B2F1"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65</w:t>
            </w:r>
          </w:p>
        </w:tc>
        <w:tc>
          <w:tcPr>
            <w:tcW w:w="564" w:type="dxa"/>
            <w:tcBorders>
              <w:top w:val="single" w:sz="4" w:space="0" w:color="auto"/>
              <w:bottom w:val="nil"/>
            </w:tcBorders>
            <w:vAlign w:val="center"/>
          </w:tcPr>
          <w:p w14:paraId="3C6AD1CB"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14.3</w:t>
            </w:r>
          </w:p>
        </w:tc>
        <w:tc>
          <w:tcPr>
            <w:tcW w:w="542" w:type="dxa"/>
            <w:tcBorders>
              <w:top w:val="single" w:sz="4" w:space="0" w:color="auto"/>
              <w:bottom w:val="nil"/>
            </w:tcBorders>
            <w:vAlign w:val="center"/>
          </w:tcPr>
          <w:p w14:paraId="68FF3787"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26</w:t>
            </w:r>
          </w:p>
        </w:tc>
        <w:tc>
          <w:tcPr>
            <w:tcW w:w="531" w:type="dxa"/>
            <w:tcBorders>
              <w:top w:val="single" w:sz="4" w:space="0" w:color="auto"/>
              <w:bottom w:val="nil"/>
            </w:tcBorders>
            <w:vAlign w:val="center"/>
          </w:tcPr>
          <w:p w14:paraId="22022DA1"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5.7</w:t>
            </w:r>
          </w:p>
        </w:tc>
        <w:tc>
          <w:tcPr>
            <w:tcW w:w="621" w:type="dxa"/>
            <w:tcBorders>
              <w:top w:val="single" w:sz="4" w:space="0" w:color="auto"/>
              <w:bottom w:val="nil"/>
            </w:tcBorders>
            <w:vAlign w:val="center"/>
          </w:tcPr>
          <w:p w14:paraId="489D4F6E"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2.186</w:t>
            </w:r>
          </w:p>
        </w:tc>
        <w:tc>
          <w:tcPr>
            <w:tcW w:w="711" w:type="dxa"/>
            <w:tcBorders>
              <w:top w:val="single" w:sz="4" w:space="0" w:color="auto"/>
              <w:bottom w:val="nil"/>
            </w:tcBorders>
            <w:vAlign w:val="center"/>
          </w:tcPr>
          <w:p w14:paraId="55FD15E9"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1.1703</w:t>
            </w:r>
          </w:p>
        </w:tc>
      </w:tr>
      <w:tr w:rsidR="00565591" w:rsidRPr="00565591" w14:paraId="5ECA04A1" w14:textId="77777777" w:rsidTr="009D10E7">
        <w:tc>
          <w:tcPr>
            <w:tcW w:w="453" w:type="dxa"/>
            <w:tcBorders>
              <w:top w:val="nil"/>
              <w:bottom w:val="nil"/>
            </w:tcBorders>
            <w:vAlign w:val="center"/>
          </w:tcPr>
          <w:p w14:paraId="1D1531B3"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2</w:t>
            </w:r>
          </w:p>
        </w:tc>
        <w:tc>
          <w:tcPr>
            <w:tcW w:w="2094" w:type="dxa"/>
            <w:tcBorders>
              <w:top w:val="nil"/>
              <w:bottom w:val="nil"/>
            </w:tcBorders>
          </w:tcPr>
          <w:p w14:paraId="51206316"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Me gustan las actividades agroindustriales</w:t>
            </w:r>
          </w:p>
        </w:tc>
        <w:tc>
          <w:tcPr>
            <w:tcW w:w="489" w:type="dxa"/>
            <w:tcBorders>
              <w:top w:val="nil"/>
              <w:bottom w:val="nil"/>
            </w:tcBorders>
            <w:vAlign w:val="center"/>
          </w:tcPr>
          <w:p w14:paraId="628632A2"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34</w:t>
            </w:r>
          </w:p>
        </w:tc>
        <w:tc>
          <w:tcPr>
            <w:tcW w:w="531" w:type="dxa"/>
            <w:tcBorders>
              <w:top w:val="nil"/>
              <w:bottom w:val="nil"/>
            </w:tcBorders>
            <w:vAlign w:val="center"/>
          </w:tcPr>
          <w:p w14:paraId="5151636B"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7.5</w:t>
            </w:r>
          </w:p>
        </w:tc>
        <w:tc>
          <w:tcPr>
            <w:tcW w:w="561" w:type="dxa"/>
            <w:tcBorders>
              <w:top w:val="nil"/>
              <w:bottom w:val="nil"/>
            </w:tcBorders>
            <w:vAlign w:val="center"/>
          </w:tcPr>
          <w:p w14:paraId="3A5FCF4C"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232</w:t>
            </w:r>
          </w:p>
        </w:tc>
        <w:tc>
          <w:tcPr>
            <w:tcW w:w="564" w:type="dxa"/>
            <w:tcBorders>
              <w:top w:val="nil"/>
              <w:bottom w:val="nil"/>
            </w:tcBorders>
            <w:vAlign w:val="center"/>
          </w:tcPr>
          <w:p w14:paraId="08A05EC5"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50.9</w:t>
            </w:r>
          </w:p>
        </w:tc>
        <w:tc>
          <w:tcPr>
            <w:tcW w:w="423" w:type="dxa"/>
            <w:tcBorders>
              <w:top w:val="nil"/>
              <w:bottom w:val="nil"/>
            </w:tcBorders>
            <w:vAlign w:val="center"/>
          </w:tcPr>
          <w:p w14:paraId="0B605BF9"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8</w:t>
            </w:r>
          </w:p>
        </w:tc>
        <w:tc>
          <w:tcPr>
            <w:tcW w:w="564" w:type="dxa"/>
            <w:tcBorders>
              <w:top w:val="nil"/>
              <w:bottom w:val="nil"/>
            </w:tcBorders>
            <w:vAlign w:val="center"/>
          </w:tcPr>
          <w:p w14:paraId="0AB51FF9"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6.1</w:t>
            </w:r>
          </w:p>
        </w:tc>
        <w:tc>
          <w:tcPr>
            <w:tcW w:w="561" w:type="dxa"/>
            <w:tcBorders>
              <w:top w:val="nil"/>
              <w:bottom w:val="nil"/>
            </w:tcBorders>
            <w:vAlign w:val="center"/>
          </w:tcPr>
          <w:p w14:paraId="619855FE"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131</w:t>
            </w:r>
          </w:p>
        </w:tc>
        <w:tc>
          <w:tcPr>
            <w:tcW w:w="564" w:type="dxa"/>
            <w:tcBorders>
              <w:top w:val="nil"/>
              <w:bottom w:val="nil"/>
            </w:tcBorders>
            <w:vAlign w:val="center"/>
          </w:tcPr>
          <w:p w14:paraId="2C27D681"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28.7</w:t>
            </w:r>
          </w:p>
        </w:tc>
        <w:tc>
          <w:tcPr>
            <w:tcW w:w="542" w:type="dxa"/>
            <w:tcBorders>
              <w:top w:val="nil"/>
              <w:bottom w:val="nil"/>
            </w:tcBorders>
            <w:vAlign w:val="center"/>
          </w:tcPr>
          <w:p w14:paraId="0F5CD58E"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31</w:t>
            </w:r>
          </w:p>
        </w:tc>
        <w:tc>
          <w:tcPr>
            <w:tcW w:w="531" w:type="dxa"/>
            <w:tcBorders>
              <w:top w:val="nil"/>
              <w:bottom w:val="nil"/>
            </w:tcBorders>
            <w:vAlign w:val="center"/>
          </w:tcPr>
          <w:p w14:paraId="77794F05"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6.8</w:t>
            </w:r>
          </w:p>
        </w:tc>
        <w:tc>
          <w:tcPr>
            <w:tcW w:w="621" w:type="dxa"/>
            <w:tcBorders>
              <w:top w:val="nil"/>
              <w:bottom w:val="nil"/>
            </w:tcBorders>
            <w:vAlign w:val="center"/>
          </w:tcPr>
          <w:p w14:paraId="03D979FE"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2.765</w:t>
            </w:r>
          </w:p>
        </w:tc>
        <w:tc>
          <w:tcPr>
            <w:tcW w:w="711" w:type="dxa"/>
            <w:tcBorders>
              <w:top w:val="nil"/>
              <w:bottom w:val="nil"/>
            </w:tcBorders>
            <w:vAlign w:val="center"/>
          </w:tcPr>
          <w:p w14:paraId="4929AC76"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1.1463</w:t>
            </w:r>
          </w:p>
        </w:tc>
      </w:tr>
      <w:tr w:rsidR="00565591" w:rsidRPr="00565591" w14:paraId="779C3ED5" w14:textId="77777777" w:rsidTr="009D10E7">
        <w:tc>
          <w:tcPr>
            <w:tcW w:w="453" w:type="dxa"/>
            <w:tcBorders>
              <w:top w:val="nil"/>
              <w:bottom w:val="nil"/>
            </w:tcBorders>
            <w:vAlign w:val="center"/>
          </w:tcPr>
          <w:p w14:paraId="0720858F"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3</w:t>
            </w:r>
          </w:p>
        </w:tc>
        <w:tc>
          <w:tcPr>
            <w:tcW w:w="2094" w:type="dxa"/>
            <w:tcBorders>
              <w:top w:val="nil"/>
              <w:bottom w:val="nil"/>
            </w:tcBorders>
          </w:tcPr>
          <w:p w14:paraId="05B0761A"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Las oportunidades para los jóvenes en la agroindustria son limitadas</w:t>
            </w:r>
          </w:p>
        </w:tc>
        <w:tc>
          <w:tcPr>
            <w:tcW w:w="489" w:type="dxa"/>
            <w:tcBorders>
              <w:top w:val="nil"/>
              <w:bottom w:val="nil"/>
            </w:tcBorders>
            <w:vAlign w:val="center"/>
          </w:tcPr>
          <w:p w14:paraId="5DAF6AEE"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6</w:t>
            </w:r>
          </w:p>
        </w:tc>
        <w:tc>
          <w:tcPr>
            <w:tcW w:w="531" w:type="dxa"/>
            <w:tcBorders>
              <w:top w:val="nil"/>
              <w:bottom w:val="nil"/>
            </w:tcBorders>
            <w:vAlign w:val="center"/>
          </w:tcPr>
          <w:p w14:paraId="2DA6221A"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1.3</w:t>
            </w:r>
          </w:p>
        </w:tc>
        <w:tc>
          <w:tcPr>
            <w:tcW w:w="561" w:type="dxa"/>
            <w:tcBorders>
              <w:top w:val="nil"/>
              <w:bottom w:val="nil"/>
            </w:tcBorders>
            <w:vAlign w:val="center"/>
          </w:tcPr>
          <w:p w14:paraId="5976F9AA"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83</w:t>
            </w:r>
          </w:p>
        </w:tc>
        <w:tc>
          <w:tcPr>
            <w:tcW w:w="564" w:type="dxa"/>
            <w:tcBorders>
              <w:top w:val="nil"/>
              <w:bottom w:val="nil"/>
            </w:tcBorders>
            <w:vAlign w:val="center"/>
          </w:tcPr>
          <w:p w14:paraId="4454CDC4"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18.2</w:t>
            </w:r>
          </w:p>
        </w:tc>
        <w:tc>
          <w:tcPr>
            <w:tcW w:w="423" w:type="dxa"/>
            <w:tcBorders>
              <w:top w:val="nil"/>
              <w:bottom w:val="nil"/>
            </w:tcBorders>
            <w:vAlign w:val="center"/>
          </w:tcPr>
          <w:p w14:paraId="0466BE56"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w:t>
            </w:r>
          </w:p>
        </w:tc>
        <w:tc>
          <w:tcPr>
            <w:tcW w:w="564" w:type="dxa"/>
            <w:tcBorders>
              <w:top w:val="nil"/>
              <w:bottom w:val="nil"/>
            </w:tcBorders>
            <w:vAlign w:val="center"/>
          </w:tcPr>
          <w:p w14:paraId="74A08C75"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2.4</w:t>
            </w:r>
          </w:p>
        </w:tc>
        <w:tc>
          <w:tcPr>
            <w:tcW w:w="561" w:type="dxa"/>
            <w:tcBorders>
              <w:top w:val="nil"/>
              <w:bottom w:val="nil"/>
            </w:tcBorders>
            <w:vAlign w:val="center"/>
          </w:tcPr>
          <w:p w14:paraId="4E394C94"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204</w:t>
            </w:r>
          </w:p>
        </w:tc>
        <w:tc>
          <w:tcPr>
            <w:tcW w:w="564" w:type="dxa"/>
            <w:tcBorders>
              <w:top w:val="nil"/>
              <w:bottom w:val="nil"/>
            </w:tcBorders>
            <w:vAlign w:val="center"/>
          </w:tcPr>
          <w:p w14:paraId="073BAF26"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44.7</w:t>
            </w:r>
          </w:p>
        </w:tc>
        <w:tc>
          <w:tcPr>
            <w:tcW w:w="542" w:type="dxa"/>
            <w:tcBorders>
              <w:top w:val="nil"/>
              <w:bottom w:val="nil"/>
            </w:tcBorders>
            <w:vAlign w:val="center"/>
          </w:tcPr>
          <w:p w14:paraId="17BAEF11"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152</w:t>
            </w:r>
          </w:p>
        </w:tc>
        <w:tc>
          <w:tcPr>
            <w:tcW w:w="531" w:type="dxa"/>
            <w:tcBorders>
              <w:top w:val="nil"/>
              <w:bottom w:val="nil"/>
            </w:tcBorders>
            <w:vAlign w:val="center"/>
          </w:tcPr>
          <w:p w14:paraId="797223BB"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33.3</w:t>
            </w:r>
          </w:p>
        </w:tc>
        <w:tc>
          <w:tcPr>
            <w:tcW w:w="621" w:type="dxa"/>
            <w:tcBorders>
              <w:top w:val="nil"/>
              <w:bottom w:val="nil"/>
            </w:tcBorders>
            <w:vAlign w:val="center"/>
          </w:tcPr>
          <w:p w14:paraId="2AD1C4DB"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3.906</w:t>
            </w:r>
          </w:p>
        </w:tc>
        <w:tc>
          <w:tcPr>
            <w:tcW w:w="711" w:type="dxa"/>
            <w:tcBorders>
              <w:top w:val="nil"/>
              <w:bottom w:val="nil"/>
            </w:tcBorders>
            <w:vAlign w:val="center"/>
          </w:tcPr>
          <w:p w14:paraId="4C79CC37"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1.0944</w:t>
            </w:r>
          </w:p>
        </w:tc>
      </w:tr>
      <w:tr w:rsidR="00565591" w:rsidRPr="00565591" w14:paraId="44927111" w14:textId="77777777" w:rsidTr="009D10E7">
        <w:tc>
          <w:tcPr>
            <w:tcW w:w="453" w:type="dxa"/>
            <w:tcBorders>
              <w:top w:val="nil"/>
              <w:bottom w:val="nil"/>
            </w:tcBorders>
            <w:vAlign w:val="center"/>
          </w:tcPr>
          <w:p w14:paraId="40235DF3"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4</w:t>
            </w:r>
          </w:p>
        </w:tc>
        <w:tc>
          <w:tcPr>
            <w:tcW w:w="2094" w:type="dxa"/>
            <w:tcBorders>
              <w:top w:val="nil"/>
              <w:bottom w:val="nil"/>
            </w:tcBorders>
          </w:tcPr>
          <w:p w14:paraId="27D814C3"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Si no tengo trabajo, puedo recurrir a la agricultura</w:t>
            </w:r>
          </w:p>
        </w:tc>
        <w:tc>
          <w:tcPr>
            <w:tcW w:w="489" w:type="dxa"/>
            <w:tcBorders>
              <w:top w:val="nil"/>
              <w:bottom w:val="nil"/>
            </w:tcBorders>
            <w:vAlign w:val="center"/>
          </w:tcPr>
          <w:p w14:paraId="27A13C61"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w:t>
            </w:r>
          </w:p>
        </w:tc>
        <w:tc>
          <w:tcPr>
            <w:tcW w:w="531" w:type="dxa"/>
            <w:tcBorders>
              <w:top w:val="nil"/>
              <w:bottom w:val="nil"/>
            </w:tcBorders>
            <w:vAlign w:val="center"/>
          </w:tcPr>
          <w:p w14:paraId="6F963046"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0.2</w:t>
            </w:r>
          </w:p>
        </w:tc>
        <w:tc>
          <w:tcPr>
            <w:tcW w:w="561" w:type="dxa"/>
            <w:tcBorders>
              <w:top w:val="nil"/>
              <w:bottom w:val="nil"/>
            </w:tcBorders>
            <w:vAlign w:val="center"/>
          </w:tcPr>
          <w:p w14:paraId="6FC6E1DE"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70</w:t>
            </w:r>
          </w:p>
        </w:tc>
        <w:tc>
          <w:tcPr>
            <w:tcW w:w="564" w:type="dxa"/>
            <w:tcBorders>
              <w:top w:val="nil"/>
              <w:bottom w:val="nil"/>
            </w:tcBorders>
            <w:vAlign w:val="center"/>
          </w:tcPr>
          <w:p w14:paraId="3BD3E5FA"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15.4</w:t>
            </w:r>
          </w:p>
        </w:tc>
        <w:tc>
          <w:tcPr>
            <w:tcW w:w="423" w:type="dxa"/>
            <w:tcBorders>
              <w:top w:val="nil"/>
              <w:bottom w:val="nil"/>
            </w:tcBorders>
            <w:vAlign w:val="center"/>
          </w:tcPr>
          <w:p w14:paraId="4B2A8A0D"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7</w:t>
            </w:r>
          </w:p>
        </w:tc>
        <w:tc>
          <w:tcPr>
            <w:tcW w:w="564" w:type="dxa"/>
            <w:tcBorders>
              <w:top w:val="nil"/>
              <w:bottom w:val="nil"/>
            </w:tcBorders>
            <w:vAlign w:val="center"/>
          </w:tcPr>
          <w:p w14:paraId="39FEF395"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8.1</w:t>
            </w:r>
          </w:p>
        </w:tc>
        <w:tc>
          <w:tcPr>
            <w:tcW w:w="561" w:type="dxa"/>
            <w:tcBorders>
              <w:top w:val="nil"/>
              <w:bottom w:val="nil"/>
            </w:tcBorders>
            <w:vAlign w:val="center"/>
          </w:tcPr>
          <w:p w14:paraId="04D37353"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284</w:t>
            </w:r>
          </w:p>
        </w:tc>
        <w:tc>
          <w:tcPr>
            <w:tcW w:w="564" w:type="dxa"/>
            <w:tcBorders>
              <w:top w:val="nil"/>
              <w:bottom w:val="nil"/>
            </w:tcBorders>
            <w:vAlign w:val="center"/>
          </w:tcPr>
          <w:p w14:paraId="3EFBE29C"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62.3</w:t>
            </w:r>
          </w:p>
        </w:tc>
        <w:tc>
          <w:tcPr>
            <w:tcW w:w="542" w:type="dxa"/>
            <w:tcBorders>
              <w:top w:val="nil"/>
              <w:bottom w:val="nil"/>
            </w:tcBorders>
            <w:vAlign w:val="center"/>
          </w:tcPr>
          <w:p w14:paraId="603161FF"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64</w:t>
            </w:r>
          </w:p>
        </w:tc>
        <w:tc>
          <w:tcPr>
            <w:tcW w:w="531" w:type="dxa"/>
            <w:tcBorders>
              <w:top w:val="nil"/>
              <w:bottom w:val="nil"/>
            </w:tcBorders>
            <w:vAlign w:val="center"/>
          </w:tcPr>
          <w:p w14:paraId="61895FFB"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14.0</w:t>
            </w:r>
          </w:p>
        </w:tc>
        <w:tc>
          <w:tcPr>
            <w:tcW w:w="621" w:type="dxa"/>
            <w:tcBorders>
              <w:top w:val="nil"/>
              <w:bottom w:val="nil"/>
            </w:tcBorders>
            <w:vAlign w:val="center"/>
          </w:tcPr>
          <w:p w14:paraId="6E34130C"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3.746</w:t>
            </w:r>
          </w:p>
        </w:tc>
        <w:tc>
          <w:tcPr>
            <w:tcW w:w="711" w:type="dxa"/>
            <w:tcBorders>
              <w:top w:val="nil"/>
              <w:bottom w:val="nil"/>
            </w:tcBorders>
            <w:vAlign w:val="center"/>
          </w:tcPr>
          <w:p w14:paraId="5ECB9EA8"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0.8901</w:t>
            </w:r>
          </w:p>
        </w:tc>
      </w:tr>
      <w:tr w:rsidR="00565591" w:rsidRPr="00565591" w14:paraId="65BEAD19" w14:textId="77777777" w:rsidTr="009D10E7">
        <w:tc>
          <w:tcPr>
            <w:tcW w:w="453" w:type="dxa"/>
            <w:tcBorders>
              <w:top w:val="nil"/>
              <w:bottom w:val="single" w:sz="4" w:space="0" w:color="auto"/>
            </w:tcBorders>
            <w:vAlign w:val="center"/>
          </w:tcPr>
          <w:p w14:paraId="41087171"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5</w:t>
            </w:r>
          </w:p>
        </w:tc>
        <w:tc>
          <w:tcPr>
            <w:tcW w:w="2094" w:type="dxa"/>
            <w:tcBorders>
              <w:top w:val="nil"/>
              <w:bottom w:val="single" w:sz="4" w:space="0" w:color="auto"/>
            </w:tcBorders>
          </w:tcPr>
          <w:p w14:paraId="7BF4D4D6"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La agroindustria y los sectores afines son un trabajo duro</w:t>
            </w:r>
          </w:p>
        </w:tc>
        <w:tc>
          <w:tcPr>
            <w:tcW w:w="489" w:type="dxa"/>
            <w:tcBorders>
              <w:top w:val="nil"/>
              <w:bottom w:val="single" w:sz="4" w:space="0" w:color="auto"/>
            </w:tcBorders>
            <w:vAlign w:val="center"/>
          </w:tcPr>
          <w:p w14:paraId="7A961F4F"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w:t>
            </w:r>
          </w:p>
        </w:tc>
        <w:tc>
          <w:tcPr>
            <w:tcW w:w="531" w:type="dxa"/>
            <w:tcBorders>
              <w:top w:val="nil"/>
              <w:bottom w:val="single" w:sz="4" w:space="0" w:color="auto"/>
            </w:tcBorders>
            <w:vAlign w:val="center"/>
          </w:tcPr>
          <w:p w14:paraId="6C3C066B"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w:t>
            </w:r>
          </w:p>
        </w:tc>
        <w:tc>
          <w:tcPr>
            <w:tcW w:w="561" w:type="dxa"/>
            <w:tcBorders>
              <w:top w:val="nil"/>
              <w:bottom w:val="single" w:sz="4" w:space="0" w:color="auto"/>
            </w:tcBorders>
            <w:vAlign w:val="center"/>
          </w:tcPr>
          <w:p w14:paraId="55CF264A"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87</w:t>
            </w:r>
          </w:p>
        </w:tc>
        <w:tc>
          <w:tcPr>
            <w:tcW w:w="564" w:type="dxa"/>
            <w:tcBorders>
              <w:top w:val="nil"/>
              <w:bottom w:val="single" w:sz="4" w:space="0" w:color="auto"/>
            </w:tcBorders>
            <w:vAlign w:val="center"/>
          </w:tcPr>
          <w:p w14:paraId="06FCC29F"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19.1</w:t>
            </w:r>
          </w:p>
        </w:tc>
        <w:tc>
          <w:tcPr>
            <w:tcW w:w="423" w:type="dxa"/>
            <w:tcBorders>
              <w:top w:val="nil"/>
              <w:bottom w:val="single" w:sz="4" w:space="0" w:color="auto"/>
            </w:tcBorders>
            <w:vAlign w:val="center"/>
          </w:tcPr>
          <w:p w14:paraId="29C30A28"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4</w:t>
            </w:r>
          </w:p>
        </w:tc>
        <w:tc>
          <w:tcPr>
            <w:tcW w:w="564" w:type="dxa"/>
            <w:tcBorders>
              <w:top w:val="nil"/>
              <w:bottom w:val="single" w:sz="4" w:space="0" w:color="auto"/>
            </w:tcBorders>
            <w:vAlign w:val="center"/>
          </w:tcPr>
          <w:p w14:paraId="3A696371"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5.3</w:t>
            </w:r>
          </w:p>
        </w:tc>
        <w:tc>
          <w:tcPr>
            <w:tcW w:w="561" w:type="dxa"/>
            <w:tcBorders>
              <w:top w:val="nil"/>
              <w:bottom w:val="single" w:sz="4" w:space="0" w:color="auto"/>
            </w:tcBorders>
            <w:vAlign w:val="center"/>
          </w:tcPr>
          <w:p w14:paraId="7818C7C1"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300</w:t>
            </w:r>
          </w:p>
        </w:tc>
        <w:tc>
          <w:tcPr>
            <w:tcW w:w="564" w:type="dxa"/>
            <w:tcBorders>
              <w:top w:val="nil"/>
              <w:bottom w:val="single" w:sz="4" w:space="0" w:color="auto"/>
            </w:tcBorders>
            <w:vAlign w:val="center"/>
          </w:tcPr>
          <w:p w14:paraId="69B431EB"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65.8</w:t>
            </w:r>
          </w:p>
        </w:tc>
        <w:tc>
          <w:tcPr>
            <w:tcW w:w="542" w:type="dxa"/>
            <w:tcBorders>
              <w:top w:val="nil"/>
              <w:bottom w:val="single" w:sz="4" w:space="0" w:color="auto"/>
            </w:tcBorders>
            <w:vAlign w:val="center"/>
          </w:tcPr>
          <w:p w14:paraId="40EBF97C"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45</w:t>
            </w:r>
          </w:p>
        </w:tc>
        <w:tc>
          <w:tcPr>
            <w:tcW w:w="531" w:type="dxa"/>
            <w:tcBorders>
              <w:top w:val="nil"/>
              <w:bottom w:val="single" w:sz="4" w:space="0" w:color="auto"/>
            </w:tcBorders>
            <w:vAlign w:val="center"/>
          </w:tcPr>
          <w:p w14:paraId="37CEE037"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9.9</w:t>
            </w:r>
          </w:p>
        </w:tc>
        <w:tc>
          <w:tcPr>
            <w:tcW w:w="621" w:type="dxa"/>
            <w:tcBorders>
              <w:top w:val="nil"/>
              <w:bottom w:val="single" w:sz="4" w:space="0" w:color="auto"/>
            </w:tcBorders>
            <w:vAlign w:val="center"/>
          </w:tcPr>
          <w:p w14:paraId="167C737A"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3.664</w:t>
            </w:r>
          </w:p>
        </w:tc>
        <w:tc>
          <w:tcPr>
            <w:tcW w:w="711" w:type="dxa"/>
            <w:tcBorders>
              <w:top w:val="nil"/>
              <w:bottom w:val="single" w:sz="4" w:space="0" w:color="auto"/>
            </w:tcBorders>
            <w:vAlign w:val="center"/>
          </w:tcPr>
          <w:p w14:paraId="3F66CC76"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0.8965</w:t>
            </w:r>
          </w:p>
        </w:tc>
      </w:tr>
      <w:tr w:rsidR="00565591" w:rsidRPr="00565591" w14:paraId="7225F1D8" w14:textId="77777777" w:rsidTr="009D10E7">
        <w:tc>
          <w:tcPr>
            <w:tcW w:w="453" w:type="dxa"/>
            <w:tcBorders>
              <w:top w:val="single" w:sz="4" w:space="0" w:color="auto"/>
              <w:bottom w:val="single" w:sz="4" w:space="0" w:color="auto"/>
            </w:tcBorders>
            <w:vAlign w:val="center"/>
          </w:tcPr>
          <w:p w14:paraId="5F0376F1" w14:textId="77777777" w:rsidR="00565591" w:rsidRPr="00565591" w:rsidRDefault="00565591" w:rsidP="009D10E7">
            <w:pPr>
              <w:ind w:firstLine="0"/>
              <w:contextualSpacing/>
              <w:jc w:val="center"/>
              <w:outlineLvl w:val="2"/>
              <w:rPr>
                <w:rFonts w:asciiTheme="minorHAnsi" w:hAnsiTheme="minorHAnsi"/>
                <w:b/>
                <w:sz w:val="18"/>
                <w:szCs w:val="18"/>
              </w:rPr>
            </w:pPr>
            <w:r>
              <w:rPr>
                <w:rFonts w:asciiTheme="minorHAnsi" w:hAnsiTheme="minorHAnsi"/>
                <w:b/>
                <w:sz w:val="18"/>
              </w:rPr>
              <w:t>II</w:t>
            </w:r>
          </w:p>
        </w:tc>
        <w:tc>
          <w:tcPr>
            <w:tcW w:w="8756" w:type="dxa"/>
            <w:gridSpan w:val="13"/>
            <w:tcBorders>
              <w:top w:val="single" w:sz="4" w:space="0" w:color="auto"/>
              <w:bottom w:val="single" w:sz="4" w:space="0" w:color="auto"/>
            </w:tcBorders>
            <w:vAlign w:val="center"/>
          </w:tcPr>
          <w:p w14:paraId="22F6D3BE" w14:textId="77777777" w:rsidR="00565591" w:rsidRPr="00565591" w:rsidRDefault="00565591" w:rsidP="009D10E7">
            <w:pPr>
              <w:ind w:firstLine="0"/>
              <w:contextualSpacing/>
              <w:jc w:val="center"/>
              <w:outlineLvl w:val="2"/>
              <w:rPr>
                <w:rFonts w:asciiTheme="minorHAnsi" w:hAnsiTheme="minorHAnsi"/>
                <w:b/>
                <w:sz w:val="18"/>
                <w:szCs w:val="18"/>
              </w:rPr>
            </w:pPr>
            <w:r>
              <w:rPr>
                <w:rFonts w:asciiTheme="minorHAnsi" w:hAnsiTheme="minorHAnsi"/>
                <w:b/>
                <w:sz w:val="18"/>
              </w:rPr>
              <w:t>Percepciones personales</w:t>
            </w:r>
          </w:p>
        </w:tc>
      </w:tr>
      <w:tr w:rsidR="00565591" w:rsidRPr="00565591" w14:paraId="605D260D" w14:textId="77777777" w:rsidTr="009D10E7">
        <w:tc>
          <w:tcPr>
            <w:tcW w:w="453" w:type="dxa"/>
            <w:tcBorders>
              <w:top w:val="single" w:sz="4" w:space="0" w:color="auto"/>
              <w:bottom w:val="nil"/>
            </w:tcBorders>
            <w:vAlign w:val="center"/>
          </w:tcPr>
          <w:p w14:paraId="34BBD2CC"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6</w:t>
            </w:r>
          </w:p>
        </w:tc>
        <w:tc>
          <w:tcPr>
            <w:tcW w:w="2094" w:type="dxa"/>
            <w:tcBorders>
              <w:top w:val="single" w:sz="4" w:space="0" w:color="auto"/>
              <w:bottom w:val="nil"/>
            </w:tcBorders>
          </w:tcPr>
          <w:p w14:paraId="2492A22B"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El compromiso de jóvenes como tú puede cambiar la reputación de la agroindustria</w:t>
            </w:r>
          </w:p>
        </w:tc>
        <w:tc>
          <w:tcPr>
            <w:tcW w:w="489" w:type="dxa"/>
            <w:tcBorders>
              <w:top w:val="single" w:sz="4" w:space="0" w:color="auto"/>
              <w:bottom w:val="nil"/>
            </w:tcBorders>
            <w:vAlign w:val="center"/>
          </w:tcPr>
          <w:p w14:paraId="28641F18"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7</w:t>
            </w:r>
          </w:p>
        </w:tc>
        <w:tc>
          <w:tcPr>
            <w:tcW w:w="531" w:type="dxa"/>
            <w:tcBorders>
              <w:top w:val="single" w:sz="4" w:space="0" w:color="auto"/>
              <w:bottom w:val="nil"/>
            </w:tcBorders>
            <w:vAlign w:val="center"/>
          </w:tcPr>
          <w:p w14:paraId="24099C89"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1.5</w:t>
            </w:r>
          </w:p>
        </w:tc>
        <w:tc>
          <w:tcPr>
            <w:tcW w:w="561" w:type="dxa"/>
            <w:tcBorders>
              <w:top w:val="single" w:sz="4" w:space="0" w:color="auto"/>
              <w:bottom w:val="nil"/>
            </w:tcBorders>
            <w:vAlign w:val="center"/>
          </w:tcPr>
          <w:p w14:paraId="1FC6EBD1"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130</w:t>
            </w:r>
          </w:p>
        </w:tc>
        <w:tc>
          <w:tcPr>
            <w:tcW w:w="564" w:type="dxa"/>
            <w:tcBorders>
              <w:top w:val="single" w:sz="4" w:space="0" w:color="auto"/>
              <w:bottom w:val="nil"/>
            </w:tcBorders>
            <w:vAlign w:val="center"/>
          </w:tcPr>
          <w:p w14:paraId="2D5185AC"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28.5</w:t>
            </w:r>
          </w:p>
        </w:tc>
        <w:tc>
          <w:tcPr>
            <w:tcW w:w="423" w:type="dxa"/>
            <w:tcBorders>
              <w:top w:val="single" w:sz="4" w:space="0" w:color="auto"/>
              <w:bottom w:val="nil"/>
            </w:tcBorders>
            <w:vAlign w:val="center"/>
          </w:tcPr>
          <w:p w14:paraId="2B81DBAC"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74</w:t>
            </w:r>
          </w:p>
        </w:tc>
        <w:tc>
          <w:tcPr>
            <w:tcW w:w="564" w:type="dxa"/>
            <w:tcBorders>
              <w:top w:val="single" w:sz="4" w:space="0" w:color="auto"/>
              <w:bottom w:val="nil"/>
            </w:tcBorders>
            <w:vAlign w:val="center"/>
          </w:tcPr>
          <w:p w14:paraId="2FD51433"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38.2</w:t>
            </w:r>
          </w:p>
        </w:tc>
        <w:tc>
          <w:tcPr>
            <w:tcW w:w="561" w:type="dxa"/>
            <w:tcBorders>
              <w:top w:val="single" w:sz="4" w:space="0" w:color="auto"/>
              <w:bottom w:val="nil"/>
            </w:tcBorders>
            <w:vAlign w:val="center"/>
          </w:tcPr>
          <w:p w14:paraId="1C74C3A5"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133</w:t>
            </w:r>
          </w:p>
        </w:tc>
        <w:tc>
          <w:tcPr>
            <w:tcW w:w="564" w:type="dxa"/>
            <w:tcBorders>
              <w:top w:val="single" w:sz="4" w:space="0" w:color="auto"/>
              <w:bottom w:val="nil"/>
            </w:tcBorders>
            <w:vAlign w:val="center"/>
          </w:tcPr>
          <w:p w14:paraId="46823F9F"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29.2</w:t>
            </w:r>
          </w:p>
        </w:tc>
        <w:tc>
          <w:tcPr>
            <w:tcW w:w="542" w:type="dxa"/>
            <w:tcBorders>
              <w:top w:val="single" w:sz="4" w:space="0" w:color="auto"/>
              <w:bottom w:val="nil"/>
            </w:tcBorders>
            <w:vAlign w:val="center"/>
          </w:tcPr>
          <w:p w14:paraId="0DCF96D3"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12</w:t>
            </w:r>
          </w:p>
        </w:tc>
        <w:tc>
          <w:tcPr>
            <w:tcW w:w="531" w:type="dxa"/>
            <w:tcBorders>
              <w:top w:val="single" w:sz="4" w:space="0" w:color="auto"/>
              <w:bottom w:val="nil"/>
            </w:tcBorders>
            <w:vAlign w:val="center"/>
          </w:tcPr>
          <w:p w14:paraId="6FD9CAE1"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2.6</w:t>
            </w:r>
          </w:p>
        </w:tc>
        <w:tc>
          <w:tcPr>
            <w:tcW w:w="621" w:type="dxa"/>
            <w:tcBorders>
              <w:top w:val="single" w:sz="4" w:space="0" w:color="auto"/>
              <w:bottom w:val="nil"/>
            </w:tcBorders>
            <w:vAlign w:val="center"/>
          </w:tcPr>
          <w:p w14:paraId="11491CB7"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3.03</w:t>
            </w:r>
          </w:p>
        </w:tc>
        <w:tc>
          <w:tcPr>
            <w:tcW w:w="711" w:type="dxa"/>
            <w:tcBorders>
              <w:top w:val="single" w:sz="4" w:space="0" w:color="auto"/>
              <w:bottom w:val="nil"/>
            </w:tcBorders>
            <w:vAlign w:val="center"/>
          </w:tcPr>
          <w:p w14:paraId="3CDF5F70"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0.863</w:t>
            </w:r>
          </w:p>
        </w:tc>
      </w:tr>
      <w:tr w:rsidR="00565591" w:rsidRPr="00565591" w14:paraId="41F3B874" w14:textId="77777777" w:rsidTr="009D10E7">
        <w:tc>
          <w:tcPr>
            <w:tcW w:w="453" w:type="dxa"/>
            <w:tcBorders>
              <w:top w:val="nil"/>
              <w:bottom w:val="nil"/>
            </w:tcBorders>
            <w:vAlign w:val="center"/>
          </w:tcPr>
          <w:p w14:paraId="70899CCF"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7</w:t>
            </w:r>
          </w:p>
        </w:tc>
        <w:tc>
          <w:tcPr>
            <w:tcW w:w="2094" w:type="dxa"/>
            <w:tcBorders>
              <w:top w:val="nil"/>
              <w:bottom w:val="nil"/>
            </w:tcBorders>
          </w:tcPr>
          <w:p w14:paraId="6A51941A"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La gente no me respetará si me dedico a la agroindustria</w:t>
            </w:r>
          </w:p>
        </w:tc>
        <w:tc>
          <w:tcPr>
            <w:tcW w:w="489" w:type="dxa"/>
            <w:tcBorders>
              <w:top w:val="nil"/>
              <w:bottom w:val="nil"/>
            </w:tcBorders>
            <w:vAlign w:val="center"/>
          </w:tcPr>
          <w:p w14:paraId="56ABA0A8"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5</w:t>
            </w:r>
          </w:p>
        </w:tc>
        <w:tc>
          <w:tcPr>
            <w:tcW w:w="531" w:type="dxa"/>
            <w:tcBorders>
              <w:top w:val="nil"/>
              <w:bottom w:val="nil"/>
            </w:tcBorders>
            <w:vAlign w:val="center"/>
          </w:tcPr>
          <w:p w14:paraId="113F2680"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1.1</w:t>
            </w:r>
          </w:p>
        </w:tc>
        <w:tc>
          <w:tcPr>
            <w:tcW w:w="561" w:type="dxa"/>
            <w:tcBorders>
              <w:top w:val="nil"/>
              <w:bottom w:val="nil"/>
            </w:tcBorders>
            <w:vAlign w:val="center"/>
          </w:tcPr>
          <w:p w14:paraId="3EB4AB55"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102</w:t>
            </w:r>
          </w:p>
        </w:tc>
        <w:tc>
          <w:tcPr>
            <w:tcW w:w="564" w:type="dxa"/>
            <w:tcBorders>
              <w:top w:val="nil"/>
              <w:bottom w:val="nil"/>
            </w:tcBorders>
            <w:vAlign w:val="center"/>
          </w:tcPr>
          <w:p w14:paraId="341DA383"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22.4</w:t>
            </w:r>
          </w:p>
        </w:tc>
        <w:tc>
          <w:tcPr>
            <w:tcW w:w="423" w:type="dxa"/>
            <w:tcBorders>
              <w:top w:val="nil"/>
              <w:bottom w:val="nil"/>
            </w:tcBorders>
            <w:vAlign w:val="center"/>
          </w:tcPr>
          <w:p w14:paraId="7016A4F0"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0</w:t>
            </w:r>
          </w:p>
        </w:tc>
        <w:tc>
          <w:tcPr>
            <w:tcW w:w="564" w:type="dxa"/>
            <w:tcBorders>
              <w:top w:val="nil"/>
              <w:bottom w:val="nil"/>
            </w:tcBorders>
            <w:vAlign w:val="center"/>
          </w:tcPr>
          <w:p w14:paraId="2FC28EEA"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4.4</w:t>
            </w:r>
          </w:p>
        </w:tc>
        <w:tc>
          <w:tcPr>
            <w:tcW w:w="561" w:type="dxa"/>
            <w:tcBorders>
              <w:top w:val="nil"/>
              <w:bottom w:val="nil"/>
            </w:tcBorders>
            <w:vAlign w:val="center"/>
          </w:tcPr>
          <w:p w14:paraId="55F16712"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282</w:t>
            </w:r>
          </w:p>
        </w:tc>
        <w:tc>
          <w:tcPr>
            <w:tcW w:w="564" w:type="dxa"/>
            <w:tcBorders>
              <w:top w:val="nil"/>
              <w:bottom w:val="nil"/>
            </w:tcBorders>
            <w:vAlign w:val="center"/>
          </w:tcPr>
          <w:p w14:paraId="290C02FE"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61.8</w:t>
            </w:r>
          </w:p>
        </w:tc>
        <w:tc>
          <w:tcPr>
            <w:tcW w:w="542" w:type="dxa"/>
            <w:tcBorders>
              <w:top w:val="nil"/>
              <w:bottom w:val="nil"/>
            </w:tcBorders>
            <w:vAlign w:val="center"/>
          </w:tcPr>
          <w:p w14:paraId="4CDBA1DD"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47</w:t>
            </w:r>
          </w:p>
        </w:tc>
        <w:tc>
          <w:tcPr>
            <w:tcW w:w="531" w:type="dxa"/>
            <w:tcBorders>
              <w:top w:val="nil"/>
              <w:bottom w:val="nil"/>
            </w:tcBorders>
            <w:vAlign w:val="center"/>
          </w:tcPr>
          <w:p w14:paraId="20DD8217"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10.3</w:t>
            </w:r>
          </w:p>
        </w:tc>
        <w:tc>
          <w:tcPr>
            <w:tcW w:w="621" w:type="dxa"/>
            <w:tcBorders>
              <w:top w:val="nil"/>
              <w:bottom w:val="nil"/>
            </w:tcBorders>
            <w:vAlign w:val="center"/>
          </w:tcPr>
          <w:p w14:paraId="6CD467EC"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3.579</w:t>
            </w:r>
          </w:p>
        </w:tc>
        <w:tc>
          <w:tcPr>
            <w:tcW w:w="711" w:type="dxa"/>
            <w:tcBorders>
              <w:top w:val="nil"/>
              <w:bottom w:val="nil"/>
            </w:tcBorders>
            <w:vAlign w:val="center"/>
          </w:tcPr>
          <w:p w14:paraId="2BA3B216"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0.9824</w:t>
            </w:r>
          </w:p>
        </w:tc>
      </w:tr>
      <w:tr w:rsidR="00565591" w:rsidRPr="00565591" w14:paraId="4464ABB7" w14:textId="77777777" w:rsidTr="009D10E7">
        <w:tc>
          <w:tcPr>
            <w:tcW w:w="453" w:type="dxa"/>
            <w:tcBorders>
              <w:top w:val="nil"/>
              <w:bottom w:val="nil"/>
            </w:tcBorders>
            <w:vAlign w:val="center"/>
          </w:tcPr>
          <w:p w14:paraId="3DF81867"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8</w:t>
            </w:r>
          </w:p>
        </w:tc>
        <w:tc>
          <w:tcPr>
            <w:tcW w:w="2094" w:type="dxa"/>
            <w:tcBorders>
              <w:top w:val="nil"/>
              <w:bottom w:val="nil"/>
            </w:tcBorders>
          </w:tcPr>
          <w:p w14:paraId="71CCEE39"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Con mi nivel educativo no puedo dedicarme a la agroindustria</w:t>
            </w:r>
          </w:p>
        </w:tc>
        <w:tc>
          <w:tcPr>
            <w:tcW w:w="489" w:type="dxa"/>
            <w:tcBorders>
              <w:top w:val="nil"/>
              <w:bottom w:val="nil"/>
            </w:tcBorders>
            <w:vAlign w:val="center"/>
          </w:tcPr>
          <w:p w14:paraId="5DDBF37F"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116</w:t>
            </w:r>
          </w:p>
        </w:tc>
        <w:tc>
          <w:tcPr>
            <w:tcW w:w="531" w:type="dxa"/>
            <w:tcBorders>
              <w:top w:val="nil"/>
              <w:bottom w:val="nil"/>
            </w:tcBorders>
            <w:vAlign w:val="center"/>
          </w:tcPr>
          <w:p w14:paraId="5A193377"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25.4</w:t>
            </w:r>
          </w:p>
        </w:tc>
        <w:tc>
          <w:tcPr>
            <w:tcW w:w="561" w:type="dxa"/>
            <w:tcBorders>
              <w:top w:val="nil"/>
              <w:bottom w:val="nil"/>
            </w:tcBorders>
            <w:vAlign w:val="center"/>
          </w:tcPr>
          <w:p w14:paraId="13D83E64"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114</w:t>
            </w:r>
          </w:p>
        </w:tc>
        <w:tc>
          <w:tcPr>
            <w:tcW w:w="564" w:type="dxa"/>
            <w:tcBorders>
              <w:top w:val="nil"/>
              <w:bottom w:val="nil"/>
            </w:tcBorders>
            <w:vAlign w:val="center"/>
          </w:tcPr>
          <w:p w14:paraId="69DE33DA"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25.0</w:t>
            </w:r>
          </w:p>
        </w:tc>
        <w:tc>
          <w:tcPr>
            <w:tcW w:w="423" w:type="dxa"/>
            <w:tcBorders>
              <w:top w:val="nil"/>
              <w:bottom w:val="nil"/>
            </w:tcBorders>
            <w:vAlign w:val="center"/>
          </w:tcPr>
          <w:p w14:paraId="0C7834E0"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4</w:t>
            </w:r>
          </w:p>
        </w:tc>
        <w:tc>
          <w:tcPr>
            <w:tcW w:w="564" w:type="dxa"/>
            <w:tcBorders>
              <w:top w:val="nil"/>
              <w:bottom w:val="nil"/>
            </w:tcBorders>
            <w:vAlign w:val="center"/>
          </w:tcPr>
          <w:p w14:paraId="7A912075"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3.1</w:t>
            </w:r>
          </w:p>
        </w:tc>
        <w:tc>
          <w:tcPr>
            <w:tcW w:w="561" w:type="dxa"/>
            <w:tcBorders>
              <w:top w:val="nil"/>
              <w:bottom w:val="nil"/>
            </w:tcBorders>
            <w:vAlign w:val="center"/>
          </w:tcPr>
          <w:p w14:paraId="2C97135A"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159</w:t>
            </w:r>
          </w:p>
        </w:tc>
        <w:tc>
          <w:tcPr>
            <w:tcW w:w="564" w:type="dxa"/>
            <w:tcBorders>
              <w:top w:val="nil"/>
              <w:bottom w:val="nil"/>
            </w:tcBorders>
            <w:vAlign w:val="center"/>
          </w:tcPr>
          <w:p w14:paraId="3ACE3E6F"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34.9</w:t>
            </w:r>
          </w:p>
        </w:tc>
        <w:tc>
          <w:tcPr>
            <w:tcW w:w="542" w:type="dxa"/>
            <w:tcBorders>
              <w:top w:val="nil"/>
              <w:bottom w:val="nil"/>
            </w:tcBorders>
            <w:vAlign w:val="center"/>
          </w:tcPr>
          <w:p w14:paraId="153E00E4"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53</w:t>
            </w:r>
          </w:p>
        </w:tc>
        <w:tc>
          <w:tcPr>
            <w:tcW w:w="531" w:type="dxa"/>
            <w:tcBorders>
              <w:top w:val="nil"/>
              <w:bottom w:val="nil"/>
            </w:tcBorders>
            <w:vAlign w:val="center"/>
          </w:tcPr>
          <w:p w14:paraId="06B4F922"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11.6</w:t>
            </w:r>
          </w:p>
        </w:tc>
        <w:tc>
          <w:tcPr>
            <w:tcW w:w="621" w:type="dxa"/>
            <w:tcBorders>
              <w:top w:val="nil"/>
              <w:bottom w:val="nil"/>
            </w:tcBorders>
            <w:vAlign w:val="center"/>
          </w:tcPr>
          <w:p w14:paraId="67C639B5"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3.579</w:t>
            </w:r>
          </w:p>
        </w:tc>
        <w:tc>
          <w:tcPr>
            <w:tcW w:w="711" w:type="dxa"/>
            <w:tcBorders>
              <w:top w:val="nil"/>
              <w:bottom w:val="nil"/>
            </w:tcBorders>
            <w:vAlign w:val="center"/>
          </w:tcPr>
          <w:p w14:paraId="3AA0C2F9"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0.9824</w:t>
            </w:r>
          </w:p>
        </w:tc>
      </w:tr>
      <w:tr w:rsidR="00565591" w:rsidRPr="00565591" w14:paraId="784554B0" w14:textId="77777777" w:rsidTr="009D10E7">
        <w:tc>
          <w:tcPr>
            <w:tcW w:w="453" w:type="dxa"/>
            <w:tcBorders>
              <w:top w:val="nil"/>
              <w:bottom w:val="nil"/>
            </w:tcBorders>
            <w:vAlign w:val="center"/>
          </w:tcPr>
          <w:p w14:paraId="651C5C7A"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9</w:t>
            </w:r>
          </w:p>
        </w:tc>
        <w:tc>
          <w:tcPr>
            <w:tcW w:w="2094" w:type="dxa"/>
            <w:tcBorders>
              <w:top w:val="nil"/>
              <w:bottom w:val="nil"/>
            </w:tcBorders>
          </w:tcPr>
          <w:p w14:paraId="0C149BBA"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Con la agroindustria no puedo alcanzar mis sueños</w:t>
            </w:r>
          </w:p>
        </w:tc>
        <w:tc>
          <w:tcPr>
            <w:tcW w:w="489" w:type="dxa"/>
            <w:tcBorders>
              <w:top w:val="nil"/>
              <w:bottom w:val="nil"/>
            </w:tcBorders>
            <w:vAlign w:val="center"/>
          </w:tcPr>
          <w:p w14:paraId="0DA6D529"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2</w:t>
            </w:r>
          </w:p>
        </w:tc>
        <w:tc>
          <w:tcPr>
            <w:tcW w:w="531" w:type="dxa"/>
            <w:tcBorders>
              <w:top w:val="nil"/>
              <w:bottom w:val="nil"/>
            </w:tcBorders>
            <w:vAlign w:val="center"/>
          </w:tcPr>
          <w:p w14:paraId="544C4E46"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0.4</w:t>
            </w:r>
          </w:p>
        </w:tc>
        <w:tc>
          <w:tcPr>
            <w:tcW w:w="561" w:type="dxa"/>
            <w:tcBorders>
              <w:top w:val="nil"/>
              <w:bottom w:val="nil"/>
            </w:tcBorders>
            <w:vAlign w:val="center"/>
          </w:tcPr>
          <w:p w14:paraId="0E63BF1B"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90</w:t>
            </w:r>
          </w:p>
        </w:tc>
        <w:tc>
          <w:tcPr>
            <w:tcW w:w="564" w:type="dxa"/>
            <w:tcBorders>
              <w:top w:val="nil"/>
              <w:bottom w:val="nil"/>
            </w:tcBorders>
            <w:vAlign w:val="center"/>
          </w:tcPr>
          <w:p w14:paraId="23A722F6"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19.7</w:t>
            </w:r>
          </w:p>
        </w:tc>
        <w:tc>
          <w:tcPr>
            <w:tcW w:w="423" w:type="dxa"/>
            <w:tcBorders>
              <w:top w:val="nil"/>
              <w:bottom w:val="nil"/>
            </w:tcBorders>
            <w:vAlign w:val="center"/>
          </w:tcPr>
          <w:p w14:paraId="5DF4FB07"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w:t>
            </w:r>
          </w:p>
        </w:tc>
        <w:tc>
          <w:tcPr>
            <w:tcW w:w="564" w:type="dxa"/>
            <w:tcBorders>
              <w:top w:val="nil"/>
              <w:bottom w:val="nil"/>
            </w:tcBorders>
            <w:vAlign w:val="center"/>
          </w:tcPr>
          <w:p w14:paraId="1A4F1635"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2.4</w:t>
            </w:r>
          </w:p>
        </w:tc>
        <w:tc>
          <w:tcPr>
            <w:tcW w:w="561" w:type="dxa"/>
            <w:tcBorders>
              <w:top w:val="nil"/>
              <w:bottom w:val="nil"/>
            </w:tcBorders>
            <w:vAlign w:val="center"/>
          </w:tcPr>
          <w:p w14:paraId="6713C0D9"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305</w:t>
            </w:r>
          </w:p>
        </w:tc>
        <w:tc>
          <w:tcPr>
            <w:tcW w:w="564" w:type="dxa"/>
            <w:tcBorders>
              <w:top w:val="nil"/>
              <w:bottom w:val="nil"/>
            </w:tcBorders>
            <w:vAlign w:val="center"/>
          </w:tcPr>
          <w:p w14:paraId="7BDA3D9D"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66.9</w:t>
            </w:r>
          </w:p>
        </w:tc>
        <w:tc>
          <w:tcPr>
            <w:tcW w:w="542" w:type="dxa"/>
            <w:tcBorders>
              <w:top w:val="nil"/>
              <w:bottom w:val="nil"/>
            </w:tcBorders>
            <w:vAlign w:val="center"/>
          </w:tcPr>
          <w:p w14:paraId="7E7AA8BE"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48</w:t>
            </w:r>
          </w:p>
        </w:tc>
        <w:tc>
          <w:tcPr>
            <w:tcW w:w="531" w:type="dxa"/>
            <w:tcBorders>
              <w:top w:val="nil"/>
              <w:bottom w:val="nil"/>
            </w:tcBorders>
            <w:vAlign w:val="center"/>
          </w:tcPr>
          <w:p w14:paraId="42A872D7"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10.5</w:t>
            </w:r>
          </w:p>
        </w:tc>
        <w:tc>
          <w:tcPr>
            <w:tcW w:w="621" w:type="dxa"/>
            <w:tcBorders>
              <w:top w:val="nil"/>
              <w:bottom w:val="nil"/>
            </w:tcBorders>
            <w:vAlign w:val="center"/>
          </w:tcPr>
          <w:p w14:paraId="534A78A6"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3.673</w:t>
            </w:r>
          </w:p>
        </w:tc>
        <w:tc>
          <w:tcPr>
            <w:tcW w:w="711" w:type="dxa"/>
            <w:tcBorders>
              <w:top w:val="nil"/>
              <w:bottom w:val="nil"/>
            </w:tcBorders>
            <w:vAlign w:val="center"/>
          </w:tcPr>
          <w:p w14:paraId="6B034A46"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0.9238</w:t>
            </w:r>
          </w:p>
        </w:tc>
      </w:tr>
      <w:tr w:rsidR="00565591" w:rsidRPr="00565591" w14:paraId="1E58A340" w14:textId="77777777" w:rsidTr="009D10E7">
        <w:tc>
          <w:tcPr>
            <w:tcW w:w="453" w:type="dxa"/>
            <w:tcBorders>
              <w:top w:val="nil"/>
              <w:bottom w:val="single" w:sz="4" w:space="0" w:color="auto"/>
            </w:tcBorders>
            <w:vAlign w:val="center"/>
          </w:tcPr>
          <w:p w14:paraId="16CEEE7C"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10</w:t>
            </w:r>
          </w:p>
        </w:tc>
        <w:tc>
          <w:tcPr>
            <w:tcW w:w="2094" w:type="dxa"/>
            <w:tcBorders>
              <w:top w:val="nil"/>
              <w:bottom w:val="single" w:sz="4" w:space="0" w:color="auto"/>
            </w:tcBorders>
          </w:tcPr>
          <w:p w14:paraId="1B9FB8FB"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Personalmente, no tengo ningún interés en la agroindustria</w:t>
            </w:r>
          </w:p>
        </w:tc>
        <w:tc>
          <w:tcPr>
            <w:tcW w:w="489" w:type="dxa"/>
            <w:tcBorders>
              <w:top w:val="nil"/>
              <w:bottom w:val="single" w:sz="4" w:space="0" w:color="auto"/>
            </w:tcBorders>
            <w:vAlign w:val="center"/>
          </w:tcPr>
          <w:p w14:paraId="598835EC"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2</w:t>
            </w:r>
          </w:p>
        </w:tc>
        <w:tc>
          <w:tcPr>
            <w:tcW w:w="531" w:type="dxa"/>
            <w:tcBorders>
              <w:top w:val="nil"/>
              <w:bottom w:val="single" w:sz="4" w:space="0" w:color="auto"/>
            </w:tcBorders>
            <w:vAlign w:val="center"/>
          </w:tcPr>
          <w:p w14:paraId="5989762D"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0.4</w:t>
            </w:r>
          </w:p>
        </w:tc>
        <w:tc>
          <w:tcPr>
            <w:tcW w:w="561" w:type="dxa"/>
            <w:tcBorders>
              <w:top w:val="nil"/>
              <w:bottom w:val="single" w:sz="4" w:space="0" w:color="auto"/>
            </w:tcBorders>
            <w:vAlign w:val="center"/>
          </w:tcPr>
          <w:p w14:paraId="09877537"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50</w:t>
            </w:r>
          </w:p>
        </w:tc>
        <w:tc>
          <w:tcPr>
            <w:tcW w:w="564" w:type="dxa"/>
            <w:tcBorders>
              <w:top w:val="nil"/>
              <w:bottom w:val="single" w:sz="4" w:space="0" w:color="auto"/>
            </w:tcBorders>
            <w:vAlign w:val="center"/>
          </w:tcPr>
          <w:p w14:paraId="2CA882CB"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11.0</w:t>
            </w:r>
          </w:p>
        </w:tc>
        <w:tc>
          <w:tcPr>
            <w:tcW w:w="423" w:type="dxa"/>
            <w:tcBorders>
              <w:top w:val="nil"/>
              <w:bottom w:val="single" w:sz="4" w:space="0" w:color="auto"/>
            </w:tcBorders>
            <w:vAlign w:val="center"/>
          </w:tcPr>
          <w:p w14:paraId="57AE67FB"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3</w:t>
            </w:r>
          </w:p>
        </w:tc>
        <w:tc>
          <w:tcPr>
            <w:tcW w:w="564" w:type="dxa"/>
            <w:tcBorders>
              <w:top w:val="nil"/>
              <w:bottom w:val="single" w:sz="4" w:space="0" w:color="auto"/>
            </w:tcBorders>
            <w:vAlign w:val="center"/>
          </w:tcPr>
          <w:p w14:paraId="58D7F7E7"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4.8</w:t>
            </w:r>
          </w:p>
        </w:tc>
        <w:tc>
          <w:tcPr>
            <w:tcW w:w="561" w:type="dxa"/>
            <w:tcBorders>
              <w:top w:val="nil"/>
              <w:bottom w:val="single" w:sz="4" w:space="0" w:color="auto"/>
            </w:tcBorders>
            <w:vAlign w:val="center"/>
          </w:tcPr>
          <w:p w14:paraId="704E2C16"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184</w:t>
            </w:r>
          </w:p>
        </w:tc>
        <w:tc>
          <w:tcPr>
            <w:tcW w:w="564" w:type="dxa"/>
            <w:tcBorders>
              <w:top w:val="nil"/>
              <w:bottom w:val="single" w:sz="4" w:space="0" w:color="auto"/>
            </w:tcBorders>
            <w:vAlign w:val="center"/>
          </w:tcPr>
          <w:p w14:paraId="01FE39AA"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40.4</w:t>
            </w:r>
          </w:p>
        </w:tc>
        <w:tc>
          <w:tcPr>
            <w:tcW w:w="542" w:type="dxa"/>
            <w:tcBorders>
              <w:top w:val="nil"/>
              <w:bottom w:val="single" w:sz="4" w:space="0" w:color="auto"/>
            </w:tcBorders>
            <w:vAlign w:val="center"/>
          </w:tcPr>
          <w:p w14:paraId="10F6D101"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198</w:t>
            </w:r>
          </w:p>
        </w:tc>
        <w:tc>
          <w:tcPr>
            <w:tcW w:w="531" w:type="dxa"/>
            <w:tcBorders>
              <w:top w:val="nil"/>
              <w:bottom w:val="single" w:sz="4" w:space="0" w:color="auto"/>
            </w:tcBorders>
            <w:vAlign w:val="center"/>
          </w:tcPr>
          <w:p w14:paraId="67BCC737"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43.4</w:t>
            </w:r>
          </w:p>
        </w:tc>
        <w:tc>
          <w:tcPr>
            <w:tcW w:w="621" w:type="dxa"/>
            <w:tcBorders>
              <w:top w:val="nil"/>
              <w:bottom w:val="single" w:sz="4" w:space="0" w:color="auto"/>
            </w:tcBorders>
            <w:vAlign w:val="center"/>
          </w:tcPr>
          <w:p w14:paraId="50336E22"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4.154</w:t>
            </w:r>
          </w:p>
        </w:tc>
        <w:tc>
          <w:tcPr>
            <w:tcW w:w="711" w:type="dxa"/>
            <w:tcBorders>
              <w:top w:val="nil"/>
              <w:bottom w:val="single" w:sz="4" w:space="0" w:color="auto"/>
            </w:tcBorders>
            <w:vAlign w:val="center"/>
          </w:tcPr>
          <w:p w14:paraId="6014F06E"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0.9690</w:t>
            </w:r>
          </w:p>
        </w:tc>
      </w:tr>
      <w:tr w:rsidR="00565591" w:rsidRPr="00565591" w14:paraId="0A8E204B" w14:textId="77777777" w:rsidTr="009D10E7">
        <w:tc>
          <w:tcPr>
            <w:tcW w:w="453" w:type="dxa"/>
            <w:tcBorders>
              <w:top w:val="single" w:sz="4" w:space="0" w:color="auto"/>
              <w:bottom w:val="single" w:sz="4" w:space="0" w:color="auto"/>
            </w:tcBorders>
            <w:vAlign w:val="center"/>
          </w:tcPr>
          <w:p w14:paraId="497B8852" w14:textId="77777777" w:rsidR="00565591" w:rsidRPr="00565591" w:rsidRDefault="00565591" w:rsidP="009D10E7">
            <w:pPr>
              <w:ind w:firstLine="0"/>
              <w:contextualSpacing/>
              <w:jc w:val="center"/>
              <w:outlineLvl w:val="2"/>
              <w:rPr>
                <w:rFonts w:asciiTheme="minorHAnsi" w:hAnsiTheme="minorHAnsi"/>
                <w:b/>
                <w:sz w:val="18"/>
                <w:szCs w:val="18"/>
              </w:rPr>
            </w:pPr>
            <w:r>
              <w:rPr>
                <w:rFonts w:asciiTheme="minorHAnsi" w:hAnsiTheme="minorHAnsi"/>
                <w:b/>
                <w:sz w:val="18"/>
              </w:rPr>
              <w:t>III</w:t>
            </w:r>
          </w:p>
        </w:tc>
        <w:tc>
          <w:tcPr>
            <w:tcW w:w="8756" w:type="dxa"/>
            <w:gridSpan w:val="13"/>
            <w:tcBorders>
              <w:top w:val="single" w:sz="4" w:space="0" w:color="auto"/>
              <w:bottom w:val="single" w:sz="4" w:space="0" w:color="auto"/>
            </w:tcBorders>
            <w:vAlign w:val="center"/>
          </w:tcPr>
          <w:p w14:paraId="232982DD" w14:textId="77777777" w:rsidR="00565591" w:rsidRPr="00565591" w:rsidRDefault="00565591" w:rsidP="009D10E7">
            <w:pPr>
              <w:ind w:firstLine="0"/>
              <w:contextualSpacing/>
              <w:jc w:val="center"/>
              <w:outlineLvl w:val="2"/>
              <w:rPr>
                <w:rFonts w:asciiTheme="minorHAnsi" w:hAnsiTheme="minorHAnsi"/>
                <w:b/>
                <w:sz w:val="18"/>
                <w:szCs w:val="18"/>
              </w:rPr>
            </w:pPr>
            <w:r>
              <w:rPr>
                <w:rFonts w:asciiTheme="minorHAnsi" w:hAnsiTheme="minorHAnsi"/>
                <w:b/>
                <w:sz w:val="18"/>
              </w:rPr>
              <w:t>Percepciones sociales</w:t>
            </w:r>
          </w:p>
        </w:tc>
      </w:tr>
      <w:tr w:rsidR="00565591" w:rsidRPr="00565591" w14:paraId="1CF9EA84" w14:textId="77777777" w:rsidTr="009D10E7">
        <w:tc>
          <w:tcPr>
            <w:tcW w:w="453" w:type="dxa"/>
            <w:tcBorders>
              <w:top w:val="single" w:sz="4" w:space="0" w:color="auto"/>
              <w:bottom w:val="nil"/>
            </w:tcBorders>
            <w:vAlign w:val="center"/>
          </w:tcPr>
          <w:p w14:paraId="0979A614"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11</w:t>
            </w:r>
          </w:p>
        </w:tc>
        <w:tc>
          <w:tcPr>
            <w:tcW w:w="2094" w:type="dxa"/>
            <w:tcBorders>
              <w:top w:val="single" w:sz="4" w:space="0" w:color="auto"/>
              <w:bottom w:val="nil"/>
            </w:tcBorders>
          </w:tcPr>
          <w:p w14:paraId="1AE51606"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Los jóvenes de este pueblo no quieren dedicarse a la agroindustria</w:t>
            </w:r>
          </w:p>
        </w:tc>
        <w:tc>
          <w:tcPr>
            <w:tcW w:w="489" w:type="dxa"/>
            <w:tcBorders>
              <w:top w:val="single" w:sz="4" w:space="0" w:color="auto"/>
              <w:bottom w:val="nil"/>
            </w:tcBorders>
            <w:vAlign w:val="center"/>
          </w:tcPr>
          <w:p w14:paraId="618AA5F7"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w:t>
            </w:r>
          </w:p>
        </w:tc>
        <w:tc>
          <w:tcPr>
            <w:tcW w:w="531" w:type="dxa"/>
            <w:tcBorders>
              <w:top w:val="single" w:sz="4" w:space="0" w:color="auto"/>
              <w:bottom w:val="nil"/>
            </w:tcBorders>
            <w:vAlign w:val="center"/>
          </w:tcPr>
          <w:p w14:paraId="1F0DE101"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w:t>
            </w:r>
          </w:p>
        </w:tc>
        <w:tc>
          <w:tcPr>
            <w:tcW w:w="561" w:type="dxa"/>
            <w:tcBorders>
              <w:top w:val="single" w:sz="4" w:space="0" w:color="auto"/>
              <w:bottom w:val="nil"/>
            </w:tcBorders>
            <w:vAlign w:val="center"/>
          </w:tcPr>
          <w:p w14:paraId="727DA8E5"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45</w:t>
            </w:r>
          </w:p>
        </w:tc>
        <w:tc>
          <w:tcPr>
            <w:tcW w:w="564" w:type="dxa"/>
            <w:tcBorders>
              <w:top w:val="single" w:sz="4" w:space="0" w:color="auto"/>
              <w:bottom w:val="nil"/>
            </w:tcBorders>
            <w:vAlign w:val="center"/>
          </w:tcPr>
          <w:p w14:paraId="59C5489C"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9.9</w:t>
            </w:r>
          </w:p>
        </w:tc>
        <w:tc>
          <w:tcPr>
            <w:tcW w:w="423" w:type="dxa"/>
            <w:tcBorders>
              <w:top w:val="single" w:sz="4" w:space="0" w:color="auto"/>
              <w:bottom w:val="nil"/>
            </w:tcBorders>
            <w:vAlign w:val="center"/>
          </w:tcPr>
          <w:p w14:paraId="007F6669"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7</w:t>
            </w:r>
          </w:p>
        </w:tc>
        <w:tc>
          <w:tcPr>
            <w:tcW w:w="564" w:type="dxa"/>
            <w:tcBorders>
              <w:top w:val="single" w:sz="4" w:space="0" w:color="auto"/>
              <w:bottom w:val="nil"/>
            </w:tcBorders>
            <w:vAlign w:val="center"/>
          </w:tcPr>
          <w:p w14:paraId="3288868A"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8.1</w:t>
            </w:r>
          </w:p>
        </w:tc>
        <w:tc>
          <w:tcPr>
            <w:tcW w:w="561" w:type="dxa"/>
            <w:tcBorders>
              <w:top w:val="single" w:sz="4" w:space="0" w:color="auto"/>
              <w:bottom w:val="nil"/>
            </w:tcBorders>
            <w:vAlign w:val="center"/>
          </w:tcPr>
          <w:p w14:paraId="3A9E1F0C"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268</w:t>
            </w:r>
          </w:p>
        </w:tc>
        <w:tc>
          <w:tcPr>
            <w:tcW w:w="564" w:type="dxa"/>
            <w:tcBorders>
              <w:top w:val="single" w:sz="4" w:space="0" w:color="auto"/>
              <w:bottom w:val="nil"/>
            </w:tcBorders>
            <w:vAlign w:val="center"/>
          </w:tcPr>
          <w:p w14:paraId="5F19D634"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58.8</w:t>
            </w:r>
          </w:p>
        </w:tc>
        <w:tc>
          <w:tcPr>
            <w:tcW w:w="542" w:type="dxa"/>
            <w:tcBorders>
              <w:top w:val="single" w:sz="4" w:space="0" w:color="auto"/>
              <w:bottom w:val="nil"/>
            </w:tcBorders>
            <w:vAlign w:val="center"/>
          </w:tcPr>
          <w:p w14:paraId="7D3B6BF1"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106</w:t>
            </w:r>
          </w:p>
        </w:tc>
        <w:tc>
          <w:tcPr>
            <w:tcW w:w="531" w:type="dxa"/>
            <w:tcBorders>
              <w:top w:val="single" w:sz="4" w:space="0" w:color="auto"/>
              <w:bottom w:val="nil"/>
            </w:tcBorders>
            <w:vAlign w:val="center"/>
          </w:tcPr>
          <w:p w14:paraId="6BA901B2"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23.2</w:t>
            </w:r>
          </w:p>
        </w:tc>
        <w:tc>
          <w:tcPr>
            <w:tcW w:w="621" w:type="dxa"/>
            <w:tcBorders>
              <w:top w:val="single" w:sz="4" w:space="0" w:color="auto"/>
              <w:bottom w:val="nil"/>
            </w:tcBorders>
            <w:vAlign w:val="center"/>
          </w:tcPr>
          <w:p w14:paraId="4DB30153"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3.954</w:t>
            </w:r>
          </w:p>
        </w:tc>
        <w:tc>
          <w:tcPr>
            <w:tcW w:w="711" w:type="dxa"/>
            <w:tcBorders>
              <w:top w:val="single" w:sz="4" w:space="0" w:color="auto"/>
              <w:bottom w:val="nil"/>
            </w:tcBorders>
            <w:vAlign w:val="center"/>
          </w:tcPr>
          <w:p w14:paraId="6746AA23"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0.8413</w:t>
            </w:r>
          </w:p>
        </w:tc>
      </w:tr>
      <w:tr w:rsidR="00565591" w:rsidRPr="00565591" w14:paraId="1369D763" w14:textId="77777777" w:rsidTr="009D10E7">
        <w:tc>
          <w:tcPr>
            <w:tcW w:w="453" w:type="dxa"/>
            <w:tcBorders>
              <w:top w:val="nil"/>
              <w:bottom w:val="nil"/>
            </w:tcBorders>
            <w:vAlign w:val="center"/>
          </w:tcPr>
          <w:p w14:paraId="3AA68FB6"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12</w:t>
            </w:r>
          </w:p>
        </w:tc>
        <w:tc>
          <w:tcPr>
            <w:tcW w:w="2094" w:type="dxa"/>
            <w:tcBorders>
              <w:top w:val="nil"/>
              <w:bottom w:val="nil"/>
            </w:tcBorders>
          </w:tcPr>
          <w:p w14:paraId="22E41714"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Mi familia no me anima a dedicarme a la agroindustria</w:t>
            </w:r>
          </w:p>
        </w:tc>
        <w:tc>
          <w:tcPr>
            <w:tcW w:w="489" w:type="dxa"/>
            <w:tcBorders>
              <w:top w:val="nil"/>
              <w:bottom w:val="nil"/>
            </w:tcBorders>
            <w:vAlign w:val="center"/>
          </w:tcPr>
          <w:p w14:paraId="23562B91"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4</w:t>
            </w:r>
          </w:p>
        </w:tc>
        <w:tc>
          <w:tcPr>
            <w:tcW w:w="531" w:type="dxa"/>
            <w:tcBorders>
              <w:top w:val="nil"/>
              <w:bottom w:val="nil"/>
            </w:tcBorders>
            <w:vAlign w:val="center"/>
          </w:tcPr>
          <w:p w14:paraId="3BD21039"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0.9</w:t>
            </w:r>
          </w:p>
        </w:tc>
        <w:tc>
          <w:tcPr>
            <w:tcW w:w="561" w:type="dxa"/>
            <w:tcBorders>
              <w:top w:val="nil"/>
              <w:bottom w:val="nil"/>
            </w:tcBorders>
            <w:vAlign w:val="center"/>
          </w:tcPr>
          <w:p w14:paraId="04C53D8B"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47</w:t>
            </w:r>
          </w:p>
        </w:tc>
        <w:tc>
          <w:tcPr>
            <w:tcW w:w="564" w:type="dxa"/>
            <w:tcBorders>
              <w:top w:val="nil"/>
              <w:bottom w:val="nil"/>
            </w:tcBorders>
            <w:vAlign w:val="center"/>
          </w:tcPr>
          <w:p w14:paraId="1DD6A104"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10.3</w:t>
            </w:r>
          </w:p>
        </w:tc>
        <w:tc>
          <w:tcPr>
            <w:tcW w:w="423" w:type="dxa"/>
            <w:tcBorders>
              <w:top w:val="nil"/>
              <w:bottom w:val="nil"/>
            </w:tcBorders>
            <w:vAlign w:val="center"/>
          </w:tcPr>
          <w:p w14:paraId="4DEBCDAD"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5</w:t>
            </w:r>
          </w:p>
        </w:tc>
        <w:tc>
          <w:tcPr>
            <w:tcW w:w="564" w:type="dxa"/>
            <w:tcBorders>
              <w:top w:val="nil"/>
              <w:bottom w:val="nil"/>
            </w:tcBorders>
            <w:vAlign w:val="center"/>
          </w:tcPr>
          <w:p w14:paraId="6A3E3AAA"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7.7</w:t>
            </w:r>
          </w:p>
        </w:tc>
        <w:tc>
          <w:tcPr>
            <w:tcW w:w="561" w:type="dxa"/>
            <w:tcBorders>
              <w:top w:val="nil"/>
              <w:bottom w:val="nil"/>
            </w:tcBorders>
            <w:vAlign w:val="center"/>
          </w:tcPr>
          <w:p w14:paraId="705D7D46"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215</w:t>
            </w:r>
          </w:p>
        </w:tc>
        <w:tc>
          <w:tcPr>
            <w:tcW w:w="564" w:type="dxa"/>
            <w:tcBorders>
              <w:top w:val="nil"/>
              <w:bottom w:val="nil"/>
            </w:tcBorders>
            <w:vAlign w:val="center"/>
          </w:tcPr>
          <w:p w14:paraId="4D9BC763"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47.1</w:t>
            </w:r>
          </w:p>
        </w:tc>
        <w:tc>
          <w:tcPr>
            <w:tcW w:w="542" w:type="dxa"/>
            <w:tcBorders>
              <w:top w:val="nil"/>
              <w:bottom w:val="nil"/>
            </w:tcBorders>
            <w:vAlign w:val="center"/>
          </w:tcPr>
          <w:p w14:paraId="6C3CFC9A"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155</w:t>
            </w:r>
          </w:p>
        </w:tc>
        <w:tc>
          <w:tcPr>
            <w:tcW w:w="531" w:type="dxa"/>
            <w:tcBorders>
              <w:top w:val="nil"/>
              <w:bottom w:val="nil"/>
            </w:tcBorders>
            <w:vAlign w:val="center"/>
          </w:tcPr>
          <w:p w14:paraId="7AB37F67"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34.0</w:t>
            </w:r>
          </w:p>
        </w:tc>
        <w:tc>
          <w:tcPr>
            <w:tcW w:w="621" w:type="dxa"/>
            <w:tcBorders>
              <w:top w:val="nil"/>
              <w:bottom w:val="nil"/>
            </w:tcBorders>
            <w:vAlign w:val="center"/>
          </w:tcPr>
          <w:p w14:paraId="532B7C24"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4.031</w:t>
            </w:r>
          </w:p>
        </w:tc>
        <w:tc>
          <w:tcPr>
            <w:tcW w:w="711" w:type="dxa"/>
            <w:tcBorders>
              <w:top w:val="nil"/>
              <w:bottom w:val="nil"/>
            </w:tcBorders>
            <w:vAlign w:val="center"/>
          </w:tcPr>
          <w:p w14:paraId="4646564E"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0.9534</w:t>
            </w:r>
          </w:p>
        </w:tc>
      </w:tr>
      <w:tr w:rsidR="00565591" w:rsidRPr="00565591" w14:paraId="5E1E156B" w14:textId="77777777" w:rsidTr="009D10E7">
        <w:tc>
          <w:tcPr>
            <w:tcW w:w="453" w:type="dxa"/>
            <w:tcBorders>
              <w:top w:val="nil"/>
              <w:bottom w:val="nil"/>
            </w:tcBorders>
            <w:vAlign w:val="center"/>
          </w:tcPr>
          <w:p w14:paraId="5E78BDC4"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13</w:t>
            </w:r>
          </w:p>
        </w:tc>
        <w:tc>
          <w:tcPr>
            <w:tcW w:w="2094" w:type="dxa"/>
            <w:tcBorders>
              <w:top w:val="nil"/>
              <w:bottom w:val="nil"/>
            </w:tcBorders>
            <w:vAlign w:val="center"/>
          </w:tcPr>
          <w:p w14:paraId="5914E902"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 xml:space="preserve">La agroindustria es más respetuosa que </w:t>
            </w:r>
            <w:r>
              <w:rPr>
                <w:rFonts w:asciiTheme="minorHAnsi" w:hAnsiTheme="minorHAnsi"/>
                <w:sz w:val="18"/>
              </w:rPr>
              <w:lastRenderedPageBreak/>
              <w:t>el trabajo administrativo</w:t>
            </w:r>
          </w:p>
        </w:tc>
        <w:tc>
          <w:tcPr>
            <w:tcW w:w="489" w:type="dxa"/>
            <w:tcBorders>
              <w:top w:val="nil"/>
              <w:bottom w:val="nil"/>
            </w:tcBorders>
            <w:vAlign w:val="center"/>
          </w:tcPr>
          <w:p w14:paraId="123BE5A5"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lastRenderedPageBreak/>
              <w:t>198</w:t>
            </w:r>
          </w:p>
        </w:tc>
        <w:tc>
          <w:tcPr>
            <w:tcW w:w="531" w:type="dxa"/>
            <w:tcBorders>
              <w:top w:val="nil"/>
              <w:bottom w:val="nil"/>
            </w:tcBorders>
            <w:vAlign w:val="center"/>
          </w:tcPr>
          <w:p w14:paraId="1EE59E58"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43.4</w:t>
            </w:r>
          </w:p>
        </w:tc>
        <w:tc>
          <w:tcPr>
            <w:tcW w:w="561" w:type="dxa"/>
            <w:tcBorders>
              <w:top w:val="nil"/>
              <w:bottom w:val="nil"/>
            </w:tcBorders>
            <w:vAlign w:val="center"/>
          </w:tcPr>
          <w:p w14:paraId="69F860AC"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213</w:t>
            </w:r>
          </w:p>
        </w:tc>
        <w:tc>
          <w:tcPr>
            <w:tcW w:w="564" w:type="dxa"/>
            <w:tcBorders>
              <w:top w:val="nil"/>
              <w:bottom w:val="nil"/>
            </w:tcBorders>
            <w:vAlign w:val="center"/>
          </w:tcPr>
          <w:p w14:paraId="78A183FE"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46.7</w:t>
            </w:r>
          </w:p>
        </w:tc>
        <w:tc>
          <w:tcPr>
            <w:tcW w:w="423" w:type="dxa"/>
            <w:tcBorders>
              <w:top w:val="nil"/>
              <w:bottom w:val="nil"/>
            </w:tcBorders>
            <w:vAlign w:val="center"/>
          </w:tcPr>
          <w:p w14:paraId="67519B7C"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3</w:t>
            </w:r>
          </w:p>
        </w:tc>
        <w:tc>
          <w:tcPr>
            <w:tcW w:w="564" w:type="dxa"/>
            <w:tcBorders>
              <w:top w:val="nil"/>
              <w:bottom w:val="nil"/>
            </w:tcBorders>
            <w:vAlign w:val="center"/>
          </w:tcPr>
          <w:p w14:paraId="40C6D9C2"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0.7</w:t>
            </w:r>
          </w:p>
        </w:tc>
        <w:tc>
          <w:tcPr>
            <w:tcW w:w="561" w:type="dxa"/>
            <w:tcBorders>
              <w:top w:val="nil"/>
              <w:bottom w:val="nil"/>
            </w:tcBorders>
            <w:vAlign w:val="center"/>
          </w:tcPr>
          <w:p w14:paraId="279CCF07"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33</w:t>
            </w:r>
          </w:p>
        </w:tc>
        <w:tc>
          <w:tcPr>
            <w:tcW w:w="564" w:type="dxa"/>
            <w:tcBorders>
              <w:top w:val="nil"/>
              <w:bottom w:val="nil"/>
            </w:tcBorders>
            <w:vAlign w:val="center"/>
          </w:tcPr>
          <w:p w14:paraId="45BF1A6E"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7.2</w:t>
            </w:r>
          </w:p>
        </w:tc>
        <w:tc>
          <w:tcPr>
            <w:tcW w:w="542" w:type="dxa"/>
            <w:tcBorders>
              <w:top w:val="nil"/>
              <w:bottom w:val="nil"/>
            </w:tcBorders>
            <w:vAlign w:val="center"/>
          </w:tcPr>
          <w:p w14:paraId="4F65D476"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9</w:t>
            </w:r>
          </w:p>
        </w:tc>
        <w:tc>
          <w:tcPr>
            <w:tcW w:w="531" w:type="dxa"/>
            <w:tcBorders>
              <w:top w:val="nil"/>
              <w:bottom w:val="nil"/>
            </w:tcBorders>
            <w:vAlign w:val="center"/>
          </w:tcPr>
          <w:p w14:paraId="10949F4B"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2.0</w:t>
            </w:r>
          </w:p>
        </w:tc>
        <w:tc>
          <w:tcPr>
            <w:tcW w:w="621" w:type="dxa"/>
            <w:tcBorders>
              <w:top w:val="nil"/>
              <w:bottom w:val="nil"/>
            </w:tcBorders>
            <w:vAlign w:val="center"/>
          </w:tcPr>
          <w:p w14:paraId="30AFAD5B"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1.776</w:t>
            </w:r>
          </w:p>
        </w:tc>
        <w:tc>
          <w:tcPr>
            <w:tcW w:w="711" w:type="dxa"/>
            <w:tcBorders>
              <w:top w:val="nil"/>
              <w:bottom w:val="nil"/>
            </w:tcBorders>
            <w:vAlign w:val="center"/>
          </w:tcPr>
          <w:p w14:paraId="5E9A3CDF"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0.9272</w:t>
            </w:r>
          </w:p>
        </w:tc>
      </w:tr>
      <w:tr w:rsidR="00565591" w:rsidRPr="00565591" w14:paraId="41443329" w14:textId="77777777" w:rsidTr="009D10E7">
        <w:tc>
          <w:tcPr>
            <w:tcW w:w="453" w:type="dxa"/>
            <w:tcBorders>
              <w:top w:val="nil"/>
              <w:bottom w:val="nil"/>
            </w:tcBorders>
            <w:vAlign w:val="center"/>
          </w:tcPr>
          <w:p w14:paraId="4328A4FA"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14</w:t>
            </w:r>
          </w:p>
        </w:tc>
        <w:tc>
          <w:tcPr>
            <w:tcW w:w="2094" w:type="dxa"/>
            <w:tcBorders>
              <w:top w:val="nil"/>
              <w:bottom w:val="nil"/>
            </w:tcBorders>
          </w:tcPr>
          <w:p w14:paraId="094DF55F"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Los habitantes de este pueblo se dedican a la agroindustria por falta de otras opciones</w:t>
            </w:r>
          </w:p>
        </w:tc>
        <w:tc>
          <w:tcPr>
            <w:tcW w:w="489" w:type="dxa"/>
            <w:tcBorders>
              <w:top w:val="nil"/>
              <w:bottom w:val="nil"/>
            </w:tcBorders>
            <w:vAlign w:val="center"/>
          </w:tcPr>
          <w:p w14:paraId="0ECAFC3B"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6</w:t>
            </w:r>
          </w:p>
        </w:tc>
        <w:tc>
          <w:tcPr>
            <w:tcW w:w="531" w:type="dxa"/>
            <w:tcBorders>
              <w:top w:val="nil"/>
              <w:bottom w:val="nil"/>
            </w:tcBorders>
            <w:vAlign w:val="center"/>
          </w:tcPr>
          <w:p w14:paraId="1C3B1830"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1.3</w:t>
            </w:r>
          </w:p>
        </w:tc>
        <w:tc>
          <w:tcPr>
            <w:tcW w:w="561" w:type="dxa"/>
            <w:tcBorders>
              <w:top w:val="nil"/>
              <w:bottom w:val="nil"/>
            </w:tcBorders>
            <w:vAlign w:val="center"/>
          </w:tcPr>
          <w:p w14:paraId="221B981F"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41</w:t>
            </w:r>
          </w:p>
        </w:tc>
        <w:tc>
          <w:tcPr>
            <w:tcW w:w="564" w:type="dxa"/>
            <w:tcBorders>
              <w:top w:val="nil"/>
              <w:bottom w:val="nil"/>
            </w:tcBorders>
            <w:vAlign w:val="center"/>
          </w:tcPr>
          <w:p w14:paraId="17A796F6"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9.0</w:t>
            </w:r>
          </w:p>
        </w:tc>
        <w:tc>
          <w:tcPr>
            <w:tcW w:w="423" w:type="dxa"/>
            <w:tcBorders>
              <w:top w:val="nil"/>
              <w:bottom w:val="nil"/>
            </w:tcBorders>
            <w:vAlign w:val="center"/>
          </w:tcPr>
          <w:p w14:paraId="1357099A"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w:t>
            </w:r>
          </w:p>
        </w:tc>
        <w:tc>
          <w:tcPr>
            <w:tcW w:w="564" w:type="dxa"/>
            <w:tcBorders>
              <w:top w:val="nil"/>
              <w:bottom w:val="nil"/>
            </w:tcBorders>
            <w:vAlign w:val="center"/>
          </w:tcPr>
          <w:p w14:paraId="0D180F32"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2.4</w:t>
            </w:r>
          </w:p>
        </w:tc>
        <w:tc>
          <w:tcPr>
            <w:tcW w:w="561" w:type="dxa"/>
            <w:tcBorders>
              <w:top w:val="nil"/>
              <w:bottom w:val="nil"/>
            </w:tcBorders>
            <w:vAlign w:val="center"/>
          </w:tcPr>
          <w:p w14:paraId="6F0BB81E"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127</w:t>
            </w:r>
          </w:p>
        </w:tc>
        <w:tc>
          <w:tcPr>
            <w:tcW w:w="564" w:type="dxa"/>
            <w:tcBorders>
              <w:top w:val="nil"/>
              <w:bottom w:val="nil"/>
            </w:tcBorders>
            <w:vAlign w:val="center"/>
          </w:tcPr>
          <w:p w14:paraId="2FA357A0"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27.9</w:t>
            </w:r>
          </w:p>
        </w:tc>
        <w:tc>
          <w:tcPr>
            <w:tcW w:w="542" w:type="dxa"/>
            <w:tcBorders>
              <w:top w:val="nil"/>
              <w:bottom w:val="nil"/>
            </w:tcBorders>
            <w:vAlign w:val="center"/>
          </w:tcPr>
          <w:p w14:paraId="2865715D"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271</w:t>
            </w:r>
          </w:p>
        </w:tc>
        <w:tc>
          <w:tcPr>
            <w:tcW w:w="531" w:type="dxa"/>
            <w:tcBorders>
              <w:top w:val="nil"/>
              <w:bottom w:val="nil"/>
            </w:tcBorders>
            <w:vAlign w:val="center"/>
          </w:tcPr>
          <w:p w14:paraId="56BAC743"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59.4</w:t>
            </w:r>
          </w:p>
        </w:tc>
        <w:tc>
          <w:tcPr>
            <w:tcW w:w="621" w:type="dxa"/>
            <w:tcBorders>
              <w:top w:val="nil"/>
              <w:bottom w:val="nil"/>
            </w:tcBorders>
            <w:vAlign w:val="center"/>
          </w:tcPr>
          <w:p w14:paraId="567B444F"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4.154</w:t>
            </w:r>
          </w:p>
        </w:tc>
        <w:tc>
          <w:tcPr>
            <w:tcW w:w="711" w:type="dxa"/>
            <w:tcBorders>
              <w:top w:val="nil"/>
              <w:bottom w:val="nil"/>
            </w:tcBorders>
            <w:vAlign w:val="center"/>
          </w:tcPr>
          <w:p w14:paraId="51F864EA"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0.9690</w:t>
            </w:r>
          </w:p>
        </w:tc>
      </w:tr>
      <w:tr w:rsidR="00565591" w:rsidRPr="00565591" w14:paraId="5852B992" w14:textId="77777777" w:rsidTr="009D10E7">
        <w:tc>
          <w:tcPr>
            <w:tcW w:w="453" w:type="dxa"/>
            <w:tcBorders>
              <w:top w:val="nil"/>
              <w:bottom w:val="single" w:sz="4" w:space="0" w:color="auto"/>
            </w:tcBorders>
            <w:vAlign w:val="center"/>
          </w:tcPr>
          <w:p w14:paraId="706B70AD"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15</w:t>
            </w:r>
          </w:p>
        </w:tc>
        <w:tc>
          <w:tcPr>
            <w:tcW w:w="2094" w:type="dxa"/>
            <w:tcBorders>
              <w:top w:val="nil"/>
              <w:bottom w:val="single" w:sz="4" w:space="0" w:color="auto"/>
            </w:tcBorders>
          </w:tcPr>
          <w:p w14:paraId="64CE934F"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La agricultura es una profesión para las personas mayores</w:t>
            </w:r>
          </w:p>
        </w:tc>
        <w:tc>
          <w:tcPr>
            <w:tcW w:w="489" w:type="dxa"/>
            <w:tcBorders>
              <w:top w:val="nil"/>
              <w:bottom w:val="single" w:sz="4" w:space="0" w:color="auto"/>
            </w:tcBorders>
            <w:vAlign w:val="center"/>
          </w:tcPr>
          <w:p w14:paraId="63F61E48"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20</w:t>
            </w:r>
          </w:p>
        </w:tc>
        <w:tc>
          <w:tcPr>
            <w:tcW w:w="531" w:type="dxa"/>
            <w:tcBorders>
              <w:top w:val="nil"/>
              <w:bottom w:val="single" w:sz="4" w:space="0" w:color="auto"/>
            </w:tcBorders>
            <w:vAlign w:val="center"/>
          </w:tcPr>
          <w:p w14:paraId="73F48F2A"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4.4</w:t>
            </w:r>
          </w:p>
        </w:tc>
        <w:tc>
          <w:tcPr>
            <w:tcW w:w="561" w:type="dxa"/>
            <w:tcBorders>
              <w:top w:val="nil"/>
              <w:bottom w:val="single" w:sz="4" w:space="0" w:color="auto"/>
            </w:tcBorders>
            <w:vAlign w:val="center"/>
          </w:tcPr>
          <w:p w14:paraId="08252464"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93</w:t>
            </w:r>
          </w:p>
        </w:tc>
        <w:tc>
          <w:tcPr>
            <w:tcW w:w="564" w:type="dxa"/>
            <w:tcBorders>
              <w:top w:val="nil"/>
              <w:bottom w:val="single" w:sz="4" w:space="0" w:color="auto"/>
            </w:tcBorders>
            <w:vAlign w:val="center"/>
          </w:tcPr>
          <w:p w14:paraId="13F1B39F"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20.4</w:t>
            </w:r>
          </w:p>
        </w:tc>
        <w:tc>
          <w:tcPr>
            <w:tcW w:w="423" w:type="dxa"/>
            <w:tcBorders>
              <w:top w:val="nil"/>
              <w:bottom w:val="single" w:sz="4" w:space="0" w:color="auto"/>
            </w:tcBorders>
            <w:vAlign w:val="center"/>
          </w:tcPr>
          <w:p w14:paraId="3A84A371"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3</w:t>
            </w:r>
          </w:p>
        </w:tc>
        <w:tc>
          <w:tcPr>
            <w:tcW w:w="564" w:type="dxa"/>
            <w:tcBorders>
              <w:top w:val="nil"/>
              <w:bottom w:val="single" w:sz="4" w:space="0" w:color="auto"/>
            </w:tcBorders>
            <w:vAlign w:val="center"/>
          </w:tcPr>
          <w:p w14:paraId="0D7F073C"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0.7</w:t>
            </w:r>
          </w:p>
        </w:tc>
        <w:tc>
          <w:tcPr>
            <w:tcW w:w="561" w:type="dxa"/>
            <w:tcBorders>
              <w:top w:val="nil"/>
              <w:bottom w:val="single" w:sz="4" w:space="0" w:color="auto"/>
            </w:tcBorders>
            <w:vAlign w:val="center"/>
          </w:tcPr>
          <w:p w14:paraId="5D4552D3"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225</w:t>
            </w:r>
          </w:p>
        </w:tc>
        <w:tc>
          <w:tcPr>
            <w:tcW w:w="564" w:type="dxa"/>
            <w:tcBorders>
              <w:top w:val="nil"/>
              <w:bottom w:val="single" w:sz="4" w:space="0" w:color="auto"/>
            </w:tcBorders>
            <w:vAlign w:val="center"/>
          </w:tcPr>
          <w:p w14:paraId="4787542D"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49.3</w:t>
            </w:r>
          </w:p>
        </w:tc>
        <w:tc>
          <w:tcPr>
            <w:tcW w:w="542" w:type="dxa"/>
            <w:tcBorders>
              <w:top w:val="nil"/>
              <w:bottom w:val="single" w:sz="4" w:space="0" w:color="auto"/>
            </w:tcBorders>
            <w:vAlign w:val="center"/>
          </w:tcPr>
          <w:p w14:paraId="2DB50EED"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115</w:t>
            </w:r>
          </w:p>
        </w:tc>
        <w:tc>
          <w:tcPr>
            <w:tcW w:w="531" w:type="dxa"/>
            <w:tcBorders>
              <w:top w:val="nil"/>
              <w:bottom w:val="single" w:sz="4" w:space="0" w:color="auto"/>
            </w:tcBorders>
            <w:vAlign w:val="center"/>
          </w:tcPr>
          <w:p w14:paraId="160A6601"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25.2</w:t>
            </w:r>
          </w:p>
        </w:tc>
        <w:tc>
          <w:tcPr>
            <w:tcW w:w="621" w:type="dxa"/>
            <w:tcBorders>
              <w:top w:val="nil"/>
              <w:bottom w:val="single" w:sz="4" w:space="0" w:color="auto"/>
            </w:tcBorders>
            <w:vAlign w:val="center"/>
          </w:tcPr>
          <w:p w14:paraId="27F7E7EA"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3.706</w:t>
            </w:r>
          </w:p>
        </w:tc>
        <w:tc>
          <w:tcPr>
            <w:tcW w:w="711" w:type="dxa"/>
            <w:tcBorders>
              <w:top w:val="nil"/>
              <w:bottom w:val="single" w:sz="4" w:space="0" w:color="auto"/>
            </w:tcBorders>
            <w:vAlign w:val="center"/>
          </w:tcPr>
          <w:p w14:paraId="6C88D4A5" w14:textId="77777777" w:rsidR="00565591" w:rsidRPr="00565591" w:rsidRDefault="00565591" w:rsidP="009D10E7">
            <w:pPr>
              <w:ind w:firstLine="0"/>
              <w:contextualSpacing/>
              <w:outlineLvl w:val="2"/>
              <w:rPr>
                <w:rFonts w:asciiTheme="minorHAnsi" w:hAnsiTheme="minorHAnsi"/>
                <w:b/>
                <w:sz w:val="18"/>
                <w:szCs w:val="18"/>
              </w:rPr>
            </w:pPr>
            <w:r>
              <w:rPr>
                <w:rFonts w:asciiTheme="minorHAnsi" w:hAnsiTheme="minorHAnsi"/>
                <w:sz w:val="18"/>
              </w:rPr>
              <w:t>1.1773</w:t>
            </w:r>
          </w:p>
        </w:tc>
      </w:tr>
    </w:tbl>
    <w:p w14:paraId="78A60B26" w14:textId="254A8319" w:rsidR="00565591" w:rsidRPr="00565591" w:rsidRDefault="00565591" w:rsidP="00565591">
      <w:pPr>
        <w:ind w:firstLine="0"/>
        <w:contextualSpacing/>
        <w:outlineLvl w:val="2"/>
        <w:rPr>
          <w:rFonts w:asciiTheme="minorHAnsi" w:hAnsiTheme="minorHAnsi"/>
          <w:b/>
          <w:sz w:val="20"/>
          <w:szCs w:val="20"/>
        </w:rPr>
      </w:pPr>
      <w:r>
        <w:rPr>
          <w:rFonts w:asciiTheme="minorHAnsi" w:hAnsiTheme="minorHAnsi"/>
          <w:i/>
          <w:sz w:val="20"/>
        </w:rPr>
        <w:t>Nota.</w:t>
      </w:r>
      <w:r>
        <w:rPr>
          <w:rFonts w:asciiTheme="minorHAnsi" w:hAnsiTheme="minorHAnsi"/>
          <w:sz w:val="20"/>
        </w:rPr>
        <w:t xml:space="preserve"> F: Frecuencia, MS: Puntuación media, DE: Desviación típica</w:t>
      </w:r>
    </w:p>
    <w:p w14:paraId="3C3491E3" w14:textId="77777777" w:rsidR="00565591" w:rsidRPr="00565591" w:rsidRDefault="00565591" w:rsidP="00565591">
      <w:pPr>
        <w:ind w:firstLine="0"/>
        <w:rPr>
          <w:rFonts w:asciiTheme="minorHAnsi" w:hAnsiTheme="minorHAnsi"/>
          <w:b/>
          <w:sz w:val="24"/>
        </w:rPr>
      </w:pPr>
    </w:p>
    <w:p w14:paraId="47CD7C8B" w14:textId="77777777" w:rsidR="00565591" w:rsidRDefault="00565591" w:rsidP="00565591">
      <w:pPr>
        <w:ind w:firstLine="0"/>
        <w:rPr>
          <w:rFonts w:asciiTheme="minorHAnsi" w:hAnsiTheme="minorHAnsi"/>
          <w:b/>
          <w:i/>
          <w:iCs/>
          <w:sz w:val="24"/>
        </w:rPr>
      </w:pPr>
      <w:r>
        <w:rPr>
          <w:rFonts w:asciiTheme="minorHAnsi" w:hAnsiTheme="minorHAnsi"/>
          <w:b/>
          <w:i/>
          <w:sz w:val="24"/>
        </w:rPr>
        <w:t>Percepciones relacionadas con aspectos económicos</w:t>
      </w:r>
    </w:p>
    <w:p w14:paraId="312FBA7C" w14:textId="77777777" w:rsidR="00565591" w:rsidRPr="00565591" w:rsidRDefault="00565591" w:rsidP="00565591">
      <w:pPr>
        <w:ind w:firstLine="709"/>
        <w:contextualSpacing/>
        <w:rPr>
          <w:rFonts w:asciiTheme="minorHAnsi" w:hAnsiTheme="minorHAnsi"/>
          <w:bCs/>
          <w:sz w:val="24"/>
        </w:rPr>
      </w:pPr>
      <w:r>
        <w:rPr>
          <w:rFonts w:asciiTheme="minorHAnsi" w:hAnsiTheme="minorHAnsi"/>
          <w:i/>
          <w:sz w:val="24"/>
        </w:rPr>
        <w:t>La agroindustria puede satisfacer todas mis necesidades básicas:</w:t>
      </w:r>
      <w:r>
        <w:rPr>
          <w:rFonts w:asciiTheme="minorHAnsi" w:hAnsiTheme="minorHAnsi"/>
          <w:sz w:val="24"/>
        </w:rPr>
        <w:t xml:space="preserve"> La Tabla 2 revela claramente que el 48,2% de los jóvenes rurales están en desacuerdo con esta declaración, seguidos por los que están muy en desacuerdo (29,4%) y los que están de acuerdo (14, 3%), muy de acuerdo (5,7%), pocos jóvenes rurales muestran una posición neutral (2,4%). La puntuación mediana de las percepciones obtenidas en una escala Likert de 5 puntos para esta declaración es 2, con una media igual a 2,186 y una desviación típica de 2,186.</w:t>
      </w:r>
    </w:p>
    <w:p w14:paraId="0F1206A9" w14:textId="77777777" w:rsidR="00565591" w:rsidRPr="00565591" w:rsidRDefault="00565591" w:rsidP="00565591">
      <w:pPr>
        <w:ind w:firstLine="709"/>
        <w:contextualSpacing/>
        <w:rPr>
          <w:rFonts w:asciiTheme="minorHAnsi" w:hAnsiTheme="minorHAnsi"/>
          <w:bCs/>
          <w:sz w:val="24"/>
        </w:rPr>
      </w:pPr>
      <w:r>
        <w:rPr>
          <w:rFonts w:asciiTheme="minorHAnsi" w:hAnsiTheme="minorHAnsi"/>
          <w:i/>
          <w:sz w:val="24"/>
        </w:rPr>
        <w:t>Me gustan las actividades agroindustriales</w:t>
      </w:r>
      <w:r>
        <w:rPr>
          <w:rFonts w:asciiTheme="minorHAnsi" w:hAnsiTheme="minorHAnsi"/>
          <w:sz w:val="24"/>
        </w:rPr>
        <w:t>: La Tabla 2 revela claramente que el 50,9% de los jóvenes rurales están en desacuerdo con esta declaración, seguidos de los que están de acuerdo (28,7%), los jóvenes rurales que están muy en desacuerdo (7,5%), muy de acuerdo (6,8%) y neutrales (6,1%). La puntuación mediana de las percepciones obtenidas en una escala Likert de 5 puntos para esta declaración es 2, con una media igual a 2,765 y una desviación típica de 2,265.</w:t>
      </w:r>
    </w:p>
    <w:p w14:paraId="41962C2E" w14:textId="77777777" w:rsidR="00565591" w:rsidRPr="00565591" w:rsidRDefault="00565591" w:rsidP="00565591">
      <w:pPr>
        <w:ind w:firstLine="709"/>
        <w:contextualSpacing/>
        <w:rPr>
          <w:rFonts w:asciiTheme="minorHAnsi" w:hAnsiTheme="minorHAnsi"/>
          <w:bCs/>
          <w:sz w:val="24"/>
        </w:rPr>
      </w:pPr>
      <w:r>
        <w:rPr>
          <w:rFonts w:asciiTheme="minorHAnsi" w:hAnsiTheme="minorHAnsi"/>
          <w:i/>
          <w:sz w:val="24"/>
        </w:rPr>
        <w:t>Las oportunidades para los jóvenes en el sector agroindustrial son limitadas</w:t>
      </w:r>
      <w:r>
        <w:rPr>
          <w:rFonts w:asciiTheme="minorHAnsi" w:hAnsiTheme="minorHAnsi"/>
          <w:sz w:val="24"/>
        </w:rPr>
        <w:t>: La Tabla 2 revela claramente que el 44,7% de los jóvenes rurales están de acuerdo con esta declaración, seguidos por los que están muy de acuerdo (33,3%), luego los jóvenes rurales que están en desacuerdo (18,2%), neutrales (2,4%) y sólo un pequeño número de ellos está muy en desacuerdo (1,3%). La puntuación mediana de las percepciones obtenidas en la escala Likert de 5 puntos para esta declaración es 4, con una media igual a 3,906 y una desviación típica de 1,0944.</w:t>
      </w:r>
    </w:p>
    <w:p w14:paraId="3929AFB0" w14:textId="77777777" w:rsidR="00565591" w:rsidRPr="00565591" w:rsidRDefault="00565591" w:rsidP="00565591">
      <w:pPr>
        <w:ind w:firstLine="709"/>
        <w:contextualSpacing/>
        <w:rPr>
          <w:rFonts w:asciiTheme="minorHAnsi" w:hAnsiTheme="minorHAnsi"/>
          <w:bCs/>
          <w:sz w:val="24"/>
        </w:rPr>
      </w:pPr>
      <w:r>
        <w:rPr>
          <w:rFonts w:asciiTheme="minorHAnsi" w:hAnsiTheme="minorHAnsi"/>
          <w:i/>
          <w:sz w:val="24"/>
        </w:rPr>
        <w:t>Si no tengo trabajo, recurriré a la agroindustria</w:t>
      </w:r>
      <w:r>
        <w:rPr>
          <w:rFonts w:asciiTheme="minorHAnsi" w:hAnsiTheme="minorHAnsi"/>
          <w:sz w:val="24"/>
        </w:rPr>
        <w:t>: La Tabla 2 revela claramente que el 62,3% de los jóvenes rurales están de acuerdo con esta declaración, seguidos por los que están en desacuerdo (15,4%), luego los jóvenes rurales que están muy de acuerdo (14,0%), neutrales (8,1%) y sólo un pequeño número está muy en desacuerdo (0,2%). La puntuación mediana de las percepciones obtenidas en la escala Likert de 5 puntos para esta declaración es 4, con una media igual a 3,746 y una desviación típica de 0,8965.</w:t>
      </w:r>
    </w:p>
    <w:p w14:paraId="0F45B7A6" w14:textId="77777777" w:rsidR="00565591" w:rsidRPr="00565591" w:rsidRDefault="00565591" w:rsidP="00565591">
      <w:pPr>
        <w:ind w:firstLine="709"/>
        <w:contextualSpacing/>
        <w:rPr>
          <w:rFonts w:asciiTheme="minorHAnsi" w:hAnsiTheme="minorHAnsi"/>
          <w:bCs/>
          <w:sz w:val="24"/>
        </w:rPr>
      </w:pPr>
      <w:r>
        <w:rPr>
          <w:rFonts w:asciiTheme="minorHAnsi" w:hAnsiTheme="minorHAnsi"/>
          <w:i/>
          <w:sz w:val="24"/>
        </w:rPr>
        <w:t>La agroindustria y los sectores afines son un trabajo duro</w:t>
      </w:r>
      <w:r>
        <w:rPr>
          <w:rFonts w:asciiTheme="minorHAnsi" w:hAnsiTheme="minorHAnsi"/>
          <w:sz w:val="24"/>
        </w:rPr>
        <w:t>: La Tabla 2 revela claramente que el 65,8% de los jóvenes rurales están de acuerdo con esta declaración, seguidos de los que están en desacuerdo (19,1%), luego los que están muy de acuerdo (9,9%), neutrales (5,3%). La puntuación mediana de las percepciones obtenidas en una escala Likert de 5 puntos para esta declaración es de 4, con una media igual a 3,664 y una desviación típica de 0,8965.</w:t>
      </w:r>
    </w:p>
    <w:p w14:paraId="52BBF8A3" w14:textId="77777777" w:rsidR="00A407E5" w:rsidRDefault="00A407E5" w:rsidP="00A407E5">
      <w:pPr>
        <w:ind w:firstLine="0"/>
        <w:contextualSpacing/>
        <w:rPr>
          <w:rFonts w:asciiTheme="minorHAnsi" w:hAnsiTheme="minorHAnsi"/>
          <w:b/>
          <w:i/>
          <w:iCs/>
          <w:sz w:val="24"/>
        </w:rPr>
      </w:pPr>
    </w:p>
    <w:p w14:paraId="00A32470" w14:textId="74E3658E" w:rsidR="00565591" w:rsidRPr="00565591" w:rsidRDefault="00565591" w:rsidP="00A407E5">
      <w:pPr>
        <w:ind w:firstLine="0"/>
        <w:contextualSpacing/>
        <w:rPr>
          <w:rFonts w:asciiTheme="minorHAnsi" w:hAnsiTheme="minorHAnsi"/>
          <w:b/>
          <w:i/>
          <w:iCs/>
          <w:sz w:val="24"/>
        </w:rPr>
      </w:pPr>
      <w:r>
        <w:rPr>
          <w:rFonts w:asciiTheme="minorHAnsi" w:hAnsiTheme="minorHAnsi"/>
          <w:b/>
          <w:i/>
          <w:sz w:val="24"/>
        </w:rPr>
        <w:t>Percepciones relacionadas con aspectos personales.</w:t>
      </w:r>
    </w:p>
    <w:p w14:paraId="0DB99AF5" w14:textId="77777777" w:rsidR="00565591" w:rsidRPr="00565591" w:rsidRDefault="00565591" w:rsidP="00565591">
      <w:pPr>
        <w:ind w:firstLine="709"/>
        <w:contextualSpacing/>
        <w:rPr>
          <w:rFonts w:asciiTheme="minorHAnsi" w:hAnsiTheme="minorHAnsi"/>
          <w:bCs/>
          <w:sz w:val="24"/>
        </w:rPr>
      </w:pPr>
      <w:r>
        <w:rPr>
          <w:rFonts w:asciiTheme="minorHAnsi" w:hAnsiTheme="minorHAnsi"/>
          <w:i/>
          <w:sz w:val="24"/>
        </w:rPr>
        <w:t>El compromiso de jóvenes como tú puede cambiar la reputación de la agroindustria</w:t>
      </w:r>
      <w:r>
        <w:rPr>
          <w:rFonts w:asciiTheme="minorHAnsi" w:hAnsiTheme="minorHAnsi"/>
          <w:sz w:val="24"/>
        </w:rPr>
        <w:t xml:space="preserve">: La Tabla 2 revela claramente que el 38,2% de los jóvenes rurales se muestran neutrales con esta declaración, seguidos de los que están de acuerdo (29,2%), luego los jóvenes rurales que están en desacuerdo (28,5%), muy de acuerdo (2,6%) y los que están muy en desacuerdo (1,5%). La puntuación mediana de las percepciones obtenidas en una escala </w:t>
      </w:r>
      <w:r>
        <w:rPr>
          <w:rFonts w:asciiTheme="minorHAnsi" w:hAnsiTheme="minorHAnsi"/>
          <w:sz w:val="24"/>
        </w:rPr>
        <w:lastRenderedPageBreak/>
        <w:t>Likert de 5 puntos para esta declaración es de 3, con una media igual a 3,03 y una desviación típica de 0,865.</w:t>
      </w:r>
    </w:p>
    <w:p w14:paraId="247A5A4F" w14:textId="77777777" w:rsidR="00565591" w:rsidRPr="00565591" w:rsidRDefault="00565591" w:rsidP="00565591">
      <w:pPr>
        <w:ind w:firstLine="709"/>
        <w:contextualSpacing/>
        <w:rPr>
          <w:rFonts w:asciiTheme="minorHAnsi" w:hAnsiTheme="minorHAnsi"/>
          <w:bCs/>
          <w:sz w:val="24"/>
        </w:rPr>
      </w:pPr>
      <w:r>
        <w:rPr>
          <w:rFonts w:asciiTheme="minorHAnsi" w:hAnsiTheme="minorHAnsi"/>
          <w:i/>
          <w:sz w:val="24"/>
        </w:rPr>
        <w:t>La gente no me respetará si me dedico a la agroindustria</w:t>
      </w:r>
      <w:r>
        <w:rPr>
          <w:rFonts w:asciiTheme="minorHAnsi" w:hAnsiTheme="minorHAnsi"/>
          <w:sz w:val="24"/>
        </w:rPr>
        <w:t>: La Tabla 2 revela claramente que el 61,8% de los jóvenes rurales están de acuerdo con esta declaración, seguidos por los que están en desacuerdo (22,4%), luego los jóvenes rurales que están muy de acuerdo (10,3%), neutrales (4,4%), muy pocos jóvenes están muy en desacuerdo con esta declaración (1,1%). La puntuación mediana de las percepciones obtenidas en la escala Likert de 5 puntos para esta declaración es 4, con una media igual a 3,579 y una desviación típica de 0,8965.</w:t>
      </w:r>
    </w:p>
    <w:p w14:paraId="04E75B9C" w14:textId="77777777" w:rsidR="00565591" w:rsidRPr="00565591" w:rsidRDefault="00565591" w:rsidP="00565591">
      <w:pPr>
        <w:ind w:firstLine="709"/>
        <w:contextualSpacing/>
        <w:rPr>
          <w:rFonts w:asciiTheme="minorHAnsi" w:hAnsiTheme="minorHAnsi"/>
          <w:bCs/>
          <w:sz w:val="24"/>
        </w:rPr>
      </w:pPr>
      <w:r>
        <w:rPr>
          <w:rFonts w:asciiTheme="minorHAnsi" w:hAnsiTheme="minorHAnsi"/>
          <w:i/>
          <w:sz w:val="24"/>
        </w:rPr>
        <w:t>Con mi nivel educativo no puedo dedicarme a la agroindustria</w:t>
      </w:r>
      <w:r>
        <w:rPr>
          <w:rFonts w:asciiTheme="minorHAnsi" w:hAnsiTheme="minorHAnsi"/>
          <w:sz w:val="24"/>
        </w:rPr>
        <w:t>: La Tabla 2 revela claramente que el 34,9% de los jóvenes rurales están de acuerdo con esta declaración, seguidos de los que están muy en desacuerdo (25,4%), luego los que están en desacuerdo (25,0%), muy de acuerdo (11,6%) y neutrales (3,1%). La puntuación mediana de las percepciones obtenidas en una escala Likert de 5 puntos para esta declaración es 2, con una media igual a 3,579 y una desviación típica de 0,9824.</w:t>
      </w:r>
    </w:p>
    <w:p w14:paraId="3AB235C5" w14:textId="77777777" w:rsidR="00565591" w:rsidRPr="00565591" w:rsidRDefault="00565591" w:rsidP="00565591">
      <w:pPr>
        <w:ind w:firstLine="709"/>
        <w:contextualSpacing/>
        <w:rPr>
          <w:rFonts w:asciiTheme="minorHAnsi" w:hAnsiTheme="minorHAnsi"/>
          <w:bCs/>
          <w:sz w:val="24"/>
        </w:rPr>
      </w:pPr>
      <w:r>
        <w:rPr>
          <w:rFonts w:asciiTheme="minorHAnsi" w:hAnsiTheme="minorHAnsi"/>
          <w:i/>
          <w:sz w:val="24"/>
        </w:rPr>
        <w:t>Con la agroindustria no puedo alcanzar mis sueños</w:t>
      </w:r>
      <w:r>
        <w:rPr>
          <w:rFonts w:asciiTheme="minorHAnsi" w:hAnsiTheme="minorHAnsi"/>
          <w:sz w:val="24"/>
        </w:rPr>
        <w:t>: La Tabla 2 revela claramente que el 66,9% de los jóvenes rurales están de acuerdo con esta declaración, seguidos de los que están en desacuerdo (19,7%), muy de acuerdo (10,5%), neutrales (2,4%) y muy pocos muy en desacuerdo (0,4%). La puntuación mediana de las percepciones obtenidas en una escala Likert de 5 puntos para esta declaración es de 4, con una media igual a 3,673 y una desviación típica de 0,9238.</w:t>
      </w:r>
    </w:p>
    <w:p w14:paraId="61C58A56" w14:textId="77777777" w:rsidR="00565591" w:rsidRDefault="00565591" w:rsidP="00565591">
      <w:pPr>
        <w:ind w:firstLine="709"/>
        <w:contextualSpacing/>
        <w:rPr>
          <w:rFonts w:asciiTheme="minorHAnsi" w:hAnsiTheme="minorHAnsi"/>
          <w:bCs/>
          <w:sz w:val="24"/>
        </w:rPr>
      </w:pPr>
      <w:r>
        <w:rPr>
          <w:rFonts w:asciiTheme="minorHAnsi" w:hAnsiTheme="minorHAnsi"/>
          <w:i/>
          <w:sz w:val="24"/>
        </w:rPr>
        <w:t>Personalmente, no me interesa la agroindustria</w:t>
      </w:r>
      <w:r>
        <w:rPr>
          <w:rFonts w:asciiTheme="minorHAnsi" w:hAnsiTheme="minorHAnsi"/>
          <w:sz w:val="24"/>
        </w:rPr>
        <w:t>: La Tabla 2 revela claramente que el 43,4% de los jóvenes rurales están muy de acuerdo con esta declaración, seguidos de un 40,4% que están de acuerdo, en desacuerdo (11,0%), neutrales (4,8%) y muy pocos muy en desacuerdo (0,4%). La puntuación mediana de las percepciones obtenidas en una escala Likert de 5 puntos para esta declaración es 4, con una media igual a 4,154 y una desviación típica de 0,9690.</w:t>
      </w:r>
    </w:p>
    <w:p w14:paraId="65ED7E1E" w14:textId="77777777" w:rsidR="00D10A18" w:rsidRPr="00565591" w:rsidRDefault="00D10A18" w:rsidP="00565591">
      <w:pPr>
        <w:ind w:firstLine="709"/>
        <w:contextualSpacing/>
        <w:rPr>
          <w:rFonts w:asciiTheme="minorHAnsi" w:hAnsiTheme="minorHAnsi"/>
          <w:bCs/>
          <w:sz w:val="24"/>
        </w:rPr>
      </w:pPr>
    </w:p>
    <w:p w14:paraId="7258FD93" w14:textId="77777777" w:rsidR="00565591" w:rsidRDefault="00565591" w:rsidP="00565591">
      <w:pPr>
        <w:ind w:firstLine="0"/>
        <w:contextualSpacing/>
        <w:rPr>
          <w:rFonts w:asciiTheme="minorHAnsi" w:hAnsiTheme="minorHAnsi"/>
          <w:b/>
          <w:i/>
          <w:iCs/>
          <w:sz w:val="24"/>
        </w:rPr>
      </w:pPr>
      <w:r>
        <w:rPr>
          <w:rFonts w:asciiTheme="minorHAnsi" w:hAnsiTheme="minorHAnsi"/>
          <w:b/>
          <w:i/>
          <w:sz w:val="24"/>
        </w:rPr>
        <w:t>Percepciones relacionadas con aspectos sociales</w:t>
      </w:r>
    </w:p>
    <w:p w14:paraId="5B04E5AA" w14:textId="77777777" w:rsidR="00565591" w:rsidRPr="00565591" w:rsidRDefault="00565591" w:rsidP="00565591">
      <w:pPr>
        <w:ind w:firstLine="709"/>
        <w:contextualSpacing/>
        <w:rPr>
          <w:rFonts w:asciiTheme="minorHAnsi" w:hAnsiTheme="minorHAnsi"/>
          <w:bCs/>
          <w:sz w:val="24"/>
        </w:rPr>
      </w:pPr>
      <w:r>
        <w:rPr>
          <w:rFonts w:asciiTheme="minorHAnsi" w:hAnsiTheme="minorHAnsi"/>
          <w:i/>
          <w:sz w:val="24"/>
        </w:rPr>
        <w:t>Los jóvenes de este pueblo no quieren dedicarse a la agroindustria</w:t>
      </w:r>
      <w:r>
        <w:rPr>
          <w:rFonts w:asciiTheme="minorHAnsi" w:hAnsiTheme="minorHAnsi"/>
          <w:sz w:val="24"/>
        </w:rPr>
        <w:t>: La Tabla 2 revela claramente que el 58,8% de los jóvenes rurales están de acuerdo con esta declaración, seguidos por el 23,2% que están muy de acuerdo, en desacuerdo (9,9%), neutral (8,1%). La puntuación mediana de las percepciones obtenidas en una escala Likert de 5 puntos para esta declaración es de 4, con una media igual a 3,954 y una desviación típica de 0,8413.</w:t>
      </w:r>
    </w:p>
    <w:p w14:paraId="65EB8EEF" w14:textId="77777777" w:rsidR="00565591" w:rsidRPr="00565591" w:rsidRDefault="00565591" w:rsidP="00565591">
      <w:pPr>
        <w:ind w:firstLine="709"/>
        <w:contextualSpacing/>
        <w:rPr>
          <w:rFonts w:asciiTheme="minorHAnsi" w:hAnsiTheme="minorHAnsi"/>
          <w:bCs/>
          <w:sz w:val="24"/>
        </w:rPr>
      </w:pPr>
      <w:r>
        <w:rPr>
          <w:rFonts w:asciiTheme="minorHAnsi" w:hAnsiTheme="minorHAnsi"/>
          <w:i/>
          <w:sz w:val="24"/>
        </w:rPr>
        <w:t>Mi familia no me anima a dedicarme a la agroindustria</w:t>
      </w:r>
      <w:r>
        <w:rPr>
          <w:rFonts w:asciiTheme="minorHAnsi" w:hAnsiTheme="minorHAnsi"/>
          <w:sz w:val="24"/>
        </w:rPr>
        <w:t>: La Tabla 2 revela claramente que el 47,1% de los jóvenes rurales están de acuerdo con esta declaración, seguidos por el 34,0% que están muy de acuerdo, luego los que están en desacuerdo (10,3%), neutrales (7,7%) y sólo el 0,9% muy en desacuerdo. La puntuación mediana de las percepciones obtenidas en la escala Likert de 5 puntos para esta declaración es 4, con una media igual a 4,031 y una desviación típica de 0,9534.</w:t>
      </w:r>
    </w:p>
    <w:p w14:paraId="18D76169" w14:textId="77777777" w:rsidR="00565591" w:rsidRPr="00565591" w:rsidRDefault="00565591" w:rsidP="00565591">
      <w:pPr>
        <w:ind w:firstLine="709"/>
        <w:contextualSpacing/>
        <w:rPr>
          <w:rFonts w:asciiTheme="minorHAnsi" w:hAnsiTheme="minorHAnsi"/>
          <w:bCs/>
          <w:sz w:val="24"/>
        </w:rPr>
      </w:pPr>
      <w:r>
        <w:rPr>
          <w:rFonts w:asciiTheme="minorHAnsi" w:hAnsiTheme="minorHAnsi"/>
          <w:i/>
          <w:sz w:val="24"/>
        </w:rPr>
        <w:t>La agroindustria es más respetuosa que el trabajo administrativo</w:t>
      </w:r>
      <w:r>
        <w:rPr>
          <w:rFonts w:asciiTheme="minorHAnsi" w:hAnsiTheme="minorHAnsi"/>
          <w:sz w:val="24"/>
        </w:rPr>
        <w:t>: La Tabla 2 revela claramente que el 46,7% de los jóvenes rurales están en desacuerdo con esta declaración, seguidos por el 43,4% que están muy en desacuerdo, luego los que están de acuerdo (7,2%), muy de acuerdo (2,0%) y neutrales (0,7%). La puntuación mediana obtenida en una escala Likert de 5 puntos para esta declaración es 2, con una media igual a 1,776 y una desviación típica de 0,9272.</w:t>
      </w:r>
    </w:p>
    <w:p w14:paraId="19C0B2EB" w14:textId="77777777" w:rsidR="00565591" w:rsidRPr="00565591" w:rsidRDefault="00565591" w:rsidP="00565591">
      <w:pPr>
        <w:ind w:firstLine="709"/>
        <w:contextualSpacing/>
        <w:rPr>
          <w:rFonts w:asciiTheme="minorHAnsi" w:hAnsiTheme="minorHAnsi"/>
          <w:bCs/>
          <w:sz w:val="24"/>
        </w:rPr>
      </w:pPr>
      <w:r>
        <w:rPr>
          <w:rFonts w:asciiTheme="minorHAnsi" w:hAnsiTheme="minorHAnsi"/>
          <w:i/>
          <w:sz w:val="24"/>
        </w:rPr>
        <w:t>Los habitantes de este pueblo se dedican a la agroindustria por falta de otras opciones</w:t>
      </w:r>
      <w:r>
        <w:rPr>
          <w:rFonts w:asciiTheme="minorHAnsi" w:hAnsiTheme="minorHAnsi"/>
          <w:sz w:val="24"/>
        </w:rPr>
        <w:t xml:space="preserve">: La Tabla 2 revela claramente que el 59,4% de los jóvenes rurales están muy de acuerdo con esta declaración, seguidos del 27,9% que están de acuerdo, en desacuerdo </w:t>
      </w:r>
      <w:r>
        <w:rPr>
          <w:rFonts w:asciiTheme="minorHAnsi" w:hAnsiTheme="minorHAnsi"/>
          <w:sz w:val="24"/>
        </w:rPr>
        <w:lastRenderedPageBreak/>
        <w:t>(9,0%), neutrales (2,4%) y sólo el 1,3% muy en desacuerdo. La puntuación mediana de las percepciones obtenidas en una escala Likert de 5 puntos para esta declaración es 5, con una media igual a 4,154 y una desviación típica de 0,9690.</w:t>
      </w:r>
    </w:p>
    <w:p w14:paraId="109C9693" w14:textId="77777777" w:rsidR="00565591" w:rsidRDefault="00565591" w:rsidP="00565591">
      <w:pPr>
        <w:ind w:firstLine="709"/>
        <w:contextualSpacing/>
        <w:rPr>
          <w:rFonts w:asciiTheme="minorHAnsi" w:hAnsiTheme="minorHAnsi"/>
          <w:bCs/>
          <w:sz w:val="24"/>
        </w:rPr>
      </w:pPr>
      <w:r>
        <w:rPr>
          <w:rFonts w:asciiTheme="minorHAnsi" w:hAnsiTheme="minorHAnsi"/>
          <w:i/>
          <w:sz w:val="24"/>
        </w:rPr>
        <w:t>La agroindustria es una profesión para mayores</w:t>
      </w:r>
      <w:r>
        <w:rPr>
          <w:rFonts w:asciiTheme="minorHAnsi" w:hAnsiTheme="minorHAnsi"/>
          <w:sz w:val="24"/>
        </w:rPr>
        <w:t>: La Tabla 2 revela claramente que el 49,3% de los jóvenes rurales están de acuerdo con esta declaración, seguidos de un 25,2% que están muy de acuerdo, en desacuerdo (20,4%), muy en desacuerdo (4,4%) y neutrales (0,7%). La puntuación media de la percepción obtenida en una escala Likert de 5 puntos para esta declaración es de 4, con una media igual a 3,076 y una desviación típica de 1,1773.</w:t>
      </w:r>
    </w:p>
    <w:p w14:paraId="37982917" w14:textId="77777777" w:rsidR="00D10A18" w:rsidRPr="00565591" w:rsidRDefault="00D10A18" w:rsidP="00565591">
      <w:pPr>
        <w:ind w:firstLine="709"/>
        <w:contextualSpacing/>
        <w:rPr>
          <w:rFonts w:asciiTheme="minorHAnsi" w:hAnsiTheme="minorHAnsi"/>
          <w:bCs/>
          <w:sz w:val="24"/>
        </w:rPr>
      </w:pPr>
    </w:p>
    <w:p w14:paraId="62493787" w14:textId="77777777" w:rsidR="00565591" w:rsidRDefault="00565591" w:rsidP="00565591">
      <w:pPr>
        <w:ind w:firstLine="0"/>
        <w:outlineLvl w:val="2"/>
        <w:rPr>
          <w:rFonts w:asciiTheme="minorHAnsi" w:hAnsiTheme="minorHAnsi"/>
          <w:b/>
          <w:i/>
          <w:iCs/>
          <w:sz w:val="24"/>
        </w:rPr>
      </w:pPr>
      <w:r>
        <w:rPr>
          <w:rFonts w:asciiTheme="minorHAnsi" w:hAnsiTheme="minorHAnsi"/>
          <w:b/>
          <w:i/>
          <w:sz w:val="24"/>
        </w:rPr>
        <w:t xml:space="preserve">Análisis de los factores que influyen en las percepciones de los jóvenes rurales hacia la agroindustria </w:t>
      </w:r>
    </w:p>
    <w:p w14:paraId="2DE423BD" w14:textId="77777777" w:rsidR="00565591" w:rsidRPr="00565591" w:rsidRDefault="00565591" w:rsidP="00565591">
      <w:pPr>
        <w:ind w:firstLine="709"/>
        <w:rPr>
          <w:rFonts w:asciiTheme="minorHAnsi" w:hAnsiTheme="minorHAnsi"/>
          <w:sz w:val="24"/>
        </w:rPr>
      </w:pPr>
      <w:r>
        <w:rPr>
          <w:rFonts w:asciiTheme="minorHAnsi" w:hAnsiTheme="minorHAnsi"/>
          <w:sz w:val="24"/>
        </w:rPr>
        <w:t xml:space="preserve">Los jóvenes rurales no constituyen un grupo homogéneo, sino diversos subgrupos en función de algunos factores como el sexo, la edad, el nivel educativo, el estado de salud, el origen étnico, la situación residencial, el estado civil, el entorno vital, etc. El estudio reveló que las percepciones de los jóvenes rurales hacia la agroindustria como profesión se deben a una combinación muy compleja de factores. </w:t>
      </w:r>
    </w:p>
    <w:p w14:paraId="243BE081" w14:textId="77777777" w:rsidR="00565591" w:rsidRPr="00565591" w:rsidRDefault="00565591" w:rsidP="00565591">
      <w:pPr>
        <w:ind w:firstLine="709"/>
        <w:contextualSpacing/>
        <w:outlineLvl w:val="2"/>
        <w:rPr>
          <w:rFonts w:asciiTheme="minorHAnsi" w:hAnsiTheme="minorHAnsi"/>
          <w:i/>
          <w:iCs/>
          <w:sz w:val="24"/>
        </w:rPr>
      </w:pPr>
      <w:r>
        <w:rPr>
          <w:rFonts w:asciiTheme="minorHAnsi" w:hAnsiTheme="minorHAnsi"/>
          <w:i/>
          <w:sz w:val="24"/>
        </w:rPr>
        <w:t xml:space="preserve">La edad: </w:t>
      </w:r>
      <w:r>
        <w:rPr>
          <w:rFonts w:asciiTheme="minorHAnsi" w:hAnsiTheme="minorHAnsi"/>
          <w:sz w:val="24"/>
        </w:rPr>
        <w:t>Una prueba de Kruskal-Wallis reveló que las puntuaciones de las percepciones personales eran estadísticamente diferentes entre los cuatro grupos de edad (Gp1, n=177: 15-19 años, Gp2, n=128: 20-24 años, Gp3, n = 82: 25-29 años; Gp4, n=69: 30-35 años), χ2 (3, n = 456) = 11,876, p = 0,008. Esta diferencia también se observó en las puntuaciones de las percepciones sociales χ2 (3, n = 456) = 8,888, p = 0,031. Por lo demás, no se revelaron diferencias estadísticamente significativas entre los distintos grupos de edad en cuanto a las puntuaciones de las percepciones económicas, χ2 (3, n = 456) = 2,759, p = 0,430. Obsérvese que todos los grupos registraron la misma puntuación mediana para las percepciones sociales (</w:t>
      </w:r>
      <w:proofErr w:type="spellStart"/>
      <w:r>
        <w:rPr>
          <w:rFonts w:asciiTheme="minorHAnsi" w:hAnsiTheme="minorHAnsi"/>
          <w:sz w:val="24"/>
        </w:rPr>
        <w:t>Med</w:t>
      </w:r>
      <w:proofErr w:type="spellEnd"/>
      <w:r>
        <w:rPr>
          <w:rFonts w:asciiTheme="minorHAnsi" w:hAnsiTheme="minorHAnsi"/>
          <w:sz w:val="24"/>
        </w:rPr>
        <w:t>=3,6). En cuanto a las percepciones personales, los dos primeros grupos (15-19 años y 20-24 años) registraron la puntuación más alta (</w:t>
      </w:r>
      <w:proofErr w:type="spellStart"/>
      <w:r>
        <w:rPr>
          <w:rFonts w:asciiTheme="minorHAnsi" w:hAnsiTheme="minorHAnsi"/>
          <w:sz w:val="24"/>
        </w:rPr>
        <w:t>Med</w:t>
      </w:r>
      <w:proofErr w:type="spellEnd"/>
      <w:r>
        <w:rPr>
          <w:rFonts w:asciiTheme="minorHAnsi" w:hAnsiTheme="minorHAnsi"/>
          <w:sz w:val="24"/>
        </w:rPr>
        <w:t>=3,6), mientras que el grupo de más edad (30-35 años) mostró una puntuación más baja (</w:t>
      </w:r>
      <w:proofErr w:type="spellStart"/>
      <w:r>
        <w:rPr>
          <w:rFonts w:asciiTheme="minorHAnsi" w:hAnsiTheme="minorHAnsi"/>
          <w:sz w:val="24"/>
        </w:rPr>
        <w:t>Med</w:t>
      </w:r>
      <w:proofErr w:type="spellEnd"/>
      <w:r>
        <w:rPr>
          <w:rFonts w:asciiTheme="minorHAnsi" w:hAnsiTheme="minorHAnsi"/>
          <w:sz w:val="24"/>
        </w:rPr>
        <w:t>=3,2) y el grupo de 25-29 años registró una puntuación media (</w:t>
      </w:r>
      <w:proofErr w:type="spellStart"/>
      <w:r>
        <w:rPr>
          <w:rFonts w:asciiTheme="minorHAnsi" w:hAnsiTheme="minorHAnsi"/>
          <w:sz w:val="24"/>
        </w:rPr>
        <w:t>Med</w:t>
      </w:r>
      <w:proofErr w:type="spellEnd"/>
      <w:r>
        <w:rPr>
          <w:rFonts w:asciiTheme="minorHAnsi" w:hAnsiTheme="minorHAnsi"/>
          <w:sz w:val="24"/>
        </w:rPr>
        <w:t>=3,4).</w:t>
      </w:r>
    </w:p>
    <w:p w14:paraId="28207C59" w14:textId="77777777" w:rsidR="00565591" w:rsidRPr="00565591" w:rsidRDefault="00565591" w:rsidP="00565591">
      <w:pPr>
        <w:ind w:firstLine="709"/>
        <w:contextualSpacing/>
        <w:outlineLvl w:val="2"/>
        <w:rPr>
          <w:rFonts w:asciiTheme="minorHAnsi" w:hAnsiTheme="minorHAnsi"/>
          <w:sz w:val="24"/>
        </w:rPr>
      </w:pPr>
      <w:r>
        <w:rPr>
          <w:rFonts w:asciiTheme="minorHAnsi" w:hAnsiTheme="minorHAnsi"/>
          <w:i/>
          <w:sz w:val="24"/>
        </w:rPr>
        <w:t>Sexo:</w:t>
      </w:r>
      <w:r>
        <w:rPr>
          <w:rFonts w:asciiTheme="minorHAnsi" w:hAnsiTheme="minorHAnsi"/>
          <w:sz w:val="24"/>
        </w:rPr>
        <w:t xml:space="preserve"> una prueba de Mann-Whitney reveló que las puntuaciones de las percepciones personales de las mujeres jóvenes (</w:t>
      </w:r>
      <w:proofErr w:type="spellStart"/>
      <w:r>
        <w:rPr>
          <w:rFonts w:asciiTheme="minorHAnsi" w:hAnsiTheme="minorHAnsi"/>
          <w:sz w:val="24"/>
        </w:rPr>
        <w:t>Med</w:t>
      </w:r>
      <w:proofErr w:type="spellEnd"/>
      <w:r>
        <w:rPr>
          <w:rFonts w:asciiTheme="minorHAnsi" w:hAnsiTheme="minorHAnsi"/>
          <w:sz w:val="24"/>
        </w:rPr>
        <w:t>=3,4, n=230) eran significativamente diferentes en comparación con las puntuaciones de los hombres jóvenes (</w:t>
      </w:r>
      <w:proofErr w:type="spellStart"/>
      <w:r>
        <w:rPr>
          <w:rFonts w:asciiTheme="minorHAnsi" w:hAnsiTheme="minorHAnsi"/>
          <w:sz w:val="24"/>
        </w:rPr>
        <w:t>Med</w:t>
      </w:r>
      <w:proofErr w:type="spellEnd"/>
      <w:r>
        <w:rPr>
          <w:rFonts w:asciiTheme="minorHAnsi" w:hAnsiTheme="minorHAnsi"/>
          <w:sz w:val="24"/>
        </w:rPr>
        <w:t>=3,4, n=226), U=22184, z=-2,726; con un efecto de tamaño pequeño, r=0,13. Por lo demás, no hay diferencias significativas entre las puntuaciones de las percepciones económicas de las mujeres jóvenes (</w:t>
      </w:r>
      <w:proofErr w:type="spellStart"/>
      <w:r>
        <w:rPr>
          <w:rFonts w:asciiTheme="minorHAnsi" w:hAnsiTheme="minorHAnsi"/>
          <w:sz w:val="24"/>
        </w:rPr>
        <w:t>Med</w:t>
      </w:r>
      <w:proofErr w:type="spellEnd"/>
      <w:r>
        <w:rPr>
          <w:rFonts w:asciiTheme="minorHAnsi" w:hAnsiTheme="minorHAnsi"/>
          <w:sz w:val="24"/>
        </w:rPr>
        <w:t>= 3,20, n=230) en comparación con las puntuaciones de los hombres jóvenes (</w:t>
      </w:r>
      <w:proofErr w:type="spellStart"/>
      <w:r>
        <w:rPr>
          <w:rFonts w:asciiTheme="minorHAnsi" w:hAnsiTheme="minorHAnsi"/>
          <w:sz w:val="24"/>
        </w:rPr>
        <w:t>Med</w:t>
      </w:r>
      <w:proofErr w:type="spellEnd"/>
      <w:r>
        <w:rPr>
          <w:rFonts w:asciiTheme="minorHAnsi" w:hAnsiTheme="minorHAnsi"/>
          <w:sz w:val="24"/>
        </w:rPr>
        <w:t>=3,6, n=226), U=25934, z=-0,041, p=0,968 con un efecto de tamaño muy pequeño, r= 0,002. Esta misma tendencia se observa en las puntuaciones de las percepciones sociales de las mujeres (</w:t>
      </w:r>
      <w:proofErr w:type="spellStart"/>
      <w:r>
        <w:rPr>
          <w:rFonts w:asciiTheme="minorHAnsi" w:hAnsiTheme="minorHAnsi"/>
          <w:sz w:val="24"/>
        </w:rPr>
        <w:t>Med</w:t>
      </w:r>
      <w:proofErr w:type="spellEnd"/>
      <w:r>
        <w:rPr>
          <w:rFonts w:asciiTheme="minorHAnsi" w:hAnsiTheme="minorHAnsi"/>
          <w:sz w:val="24"/>
        </w:rPr>
        <w:t>=3,20, n=230) en comparación con las de los hombres (</w:t>
      </w:r>
      <w:proofErr w:type="spellStart"/>
      <w:r>
        <w:rPr>
          <w:rFonts w:asciiTheme="minorHAnsi" w:hAnsiTheme="minorHAnsi"/>
          <w:sz w:val="24"/>
        </w:rPr>
        <w:t>Med</w:t>
      </w:r>
      <w:proofErr w:type="spellEnd"/>
      <w:r>
        <w:rPr>
          <w:rFonts w:asciiTheme="minorHAnsi" w:hAnsiTheme="minorHAnsi"/>
          <w:sz w:val="24"/>
        </w:rPr>
        <w:t xml:space="preserve">=3,60, n=226), U=24122,50, z =-1,343, p=0,179 con un tamaño del efecto r=0,63. </w:t>
      </w:r>
    </w:p>
    <w:p w14:paraId="014F20C0" w14:textId="77777777" w:rsidR="00565591" w:rsidRPr="00565591" w:rsidRDefault="00565591" w:rsidP="00565591">
      <w:pPr>
        <w:ind w:firstLine="709"/>
        <w:contextualSpacing/>
        <w:rPr>
          <w:rFonts w:asciiTheme="minorHAnsi" w:hAnsiTheme="minorHAnsi"/>
          <w:sz w:val="24"/>
        </w:rPr>
      </w:pPr>
      <w:r>
        <w:rPr>
          <w:rFonts w:asciiTheme="minorHAnsi" w:hAnsiTheme="minorHAnsi"/>
          <w:i/>
          <w:sz w:val="24"/>
        </w:rPr>
        <w:t>Nivel educativo:</w:t>
      </w:r>
      <w:r>
        <w:rPr>
          <w:rFonts w:asciiTheme="minorHAnsi" w:hAnsiTheme="minorHAnsi"/>
          <w:sz w:val="24"/>
        </w:rPr>
        <w:t xml:space="preserve"> una prueba de Kruskal-Wallis reveló que las puntuaciones de las percepciones personales eran estadísticamente diferentes entre los cuatro grupos de nivel educativo analizados (Gp1, n = 55: analfabeto, Gp2, n = 125: primario, Gp3, n = 262: secundario; Gp4, n = 14: universitario), χ2 (3, n = 456) =129,990, p = 0,000. Esta diferencia también se observa en las puntuaciones de las percepciones sociales, χ2 (3, n = 456) = 7,905, p = 0,048. Los grupos de educación primaria y secundaria registraron la puntuación mediana más alta en cuanto a percepciones sociales (</w:t>
      </w:r>
      <w:proofErr w:type="spellStart"/>
      <w:r>
        <w:rPr>
          <w:rFonts w:asciiTheme="minorHAnsi" w:hAnsiTheme="minorHAnsi"/>
          <w:sz w:val="24"/>
        </w:rPr>
        <w:t>Med</w:t>
      </w:r>
      <w:proofErr w:type="spellEnd"/>
      <w:r>
        <w:rPr>
          <w:rFonts w:asciiTheme="minorHAnsi" w:hAnsiTheme="minorHAnsi"/>
          <w:sz w:val="24"/>
        </w:rPr>
        <w:t>=3,6), en comparación con los grupos de analfabetos y universitarios (</w:t>
      </w:r>
      <w:proofErr w:type="spellStart"/>
      <w:r>
        <w:rPr>
          <w:rFonts w:asciiTheme="minorHAnsi" w:hAnsiTheme="minorHAnsi"/>
          <w:sz w:val="24"/>
        </w:rPr>
        <w:t>Med</w:t>
      </w:r>
      <w:proofErr w:type="spellEnd"/>
      <w:r>
        <w:rPr>
          <w:rFonts w:asciiTheme="minorHAnsi" w:hAnsiTheme="minorHAnsi"/>
          <w:sz w:val="24"/>
        </w:rPr>
        <w:t>=3,4). En cuanto a las percepciones personales, el grupo universitario registró la puntuación mediana más alta (</w:t>
      </w:r>
      <w:proofErr w:type="spellStart"/>
      <w:r>
        <w:rPr>
          <w:rFonts w:asciiTheme="minorHAnsi" w:hAnsiTheme="minorHAnsi"/>
          <w:sz w:val="24"/>
        </w:rPr>
        <w:t>Med</w:t>
      </w:r>
      <w:proofErr w:type="spellEnd"/>
      <w:r>
        <w:rPr>
          <w:rFonts w:asciiTheme="minorHAnsi" w:hAnsiTheme="minorHAnsi"/>
          <w:sz w:val="24"/>
        </w:rPr>
        <w:t xml:space="preserve">=4,0), </w:t>
      </w:r>
      <w:r>
        <w:rPr>
          <w:rFonts w:asciiTheme="minorHAnsi" w:hAnsiTheme="minorHAnsi"/>
          <w:sz w:val="24"/>
        </w:rPr>
        <w:lastRenderedPageBreak/>
        <w:t>seguido del grupo secundario (</w:t>
      </w:r>
      <w:proofErr w:type="spellStart"/>
      <w:r>
        <w:rPr>
          <w:rFonts w:asciiTheme="minorHAnsi" w:hAnsiTheme="minorHAnsi"/>
          <w:sz w:val="24"/>
        </w:rPr>
        <w:t>Med</w:t>
      </w:r>
      <w:proofErr w:type="spellEnd"/>
      <w:r>
        <w:rPr>
          <w:rFonts w:asciiTheme="minorHAnsi" w:hAnsiTheme="minorHAnsi"/>
          <w:sz w:val="24"/>
        </w:rPr>
        <w:t>=3,6). Los grupos analfabeto y primario registraron una mediana de puntuación baja (</w:t>
      </w:r>
      <w:proofErr w:type="spellStart"/>
      <w:r>
        <w:rPr>
          <w:rFonts w:asciiTheme="minorHAnsi" w:hAnsiTheme="minorHAnsi"/>
          <w:sz w:val="24"/>
        </w:rPr>
        <w:t>Med</w:t>
      </w:r>
      <w:proofErr w:type="spellEnd"/>
      <w:r>
        <w:rPr>
          <w:rFonts w:asciiTheme="minorHAnsi" w:hAnsiTheme="minorHAnsi"/>
          <w:sz w:val="24"/>
        </w:rPr>
        <w:t>=3,2) en comparación con los demás grupos. Por lo demás, la misma prueba no revela diferencias estadísticas entre los cuatro grupos de nivel educativo en cuanto a las puntuaciones de las percepciones económicas, χ2 (3, n = 456) = 4,217, p = 0,239.</w:t>
      </w:r>
    </w:p>
    <w:p w14:paraId="53A824FD" w14:textId="77777777" w:rsidR="00565591" w:rsidRPr="00565591" w:rsidRDefault="00565591" w:rsidP="00565591">
      <w:pPr>
        <w:ind w:firstLine="709"/>
        <w:contextualSpacing/>
        <w:outlineLvl w:val="2"/>
        <w:rPr>
          <w:rFonts w:asciiTheme="minorHAnsi" w:hAnsiTheme="minorHAnsi"/>
          <w:sz w:val="24"/>
        </w:rPr>
      </w:pPr>
      <w:r>
        <w:rPr>
          <w:rFonts w:asciiTheme="minorHAnsi" w:hAnsiTheme="minorHAnsi"/>
          <w:i/>
          <w:sz w:val="24"/>
        </w:rPr>
        <w:t>Zona de origen:</w:t>
      </w:r>
      <w:r>
        <w:rPr>
          <w:rFonts w:asciiTheme="minorHAnsi" w:hAnsiTheme="minorHAnsi"/>
          <w:sz w:val="24"/>
        </w:rPr>
        <w:t xml:space="preserve"> una prueba de Kruskal-Wallis reveló que las puntuaciones de las percepciones económicas eran significativamente diferentes entre los jóvenes de 8 lugares de encuesta diferentes (</w:t>
      </w:r>
      <w:proofErr w:type="spellStart"/>
      <w:r>
        <w:rPr>
          <w:rFonts w:asciiTheme="minorHAnsi" w:hAnsiTheme="minorHAnsi"/>
          <w:sz w:val="24"/>
        </w:rPr>
        <w:t>Katana</w:t>
      </w:r>
      <w:proofErr w:type="spellEnd"/>
      <w:r>
        <w:rPr>
          <w:rFonts w:asciiTheme="minorHAnsi" w:hAnsiTheme="minorHAnsi"/>
          <w:sz w:val="24"/>
        </w:rPr>
        <w:t xml:space="preserve">, </w:t>
      </w:r>
      <w:proofErr w:type="spellStart"/>
      <w:r>
        <w:rPr>
          <w:rFonts w:asciiTheme="minorHAnsi" w:hAnsiTheme="minorHAnsi"/>
          <w:sz w:val="24"/>
        </w:rPr>
        <w:t>Kavumu</w:t>
      </w:r>
      <w:proofErr w:type="spellEnd"/>
      <w:r>
        <w:rPr>
          <w:rFonts w:asciiTheme="minorHAnsi" w:hAnsiTheme="minorHAnsi"/>
          <w:sz w:val="24"/>
        </w:rPr>
        <w:t xml:space="preserve">, </w:t>
      </w:r>
      <w:proofErr w:type="spellStart"/>
      <w:r>
        <w:rPr>
          <w:rFonts w:asciiTheme="minorHAnsi" w:hAnsiTheme="minorHAnsi"/>
          <w:sz w:val="24"/>
        </w:rPr>
        <w:t>Mudaka</w:t>
      </w:r>
      <w:proofErr w:type="spellEnd"/>
      <w:r>
        <w:rPr>
          <w:rFonts w:asciiTheme="minorHAnsi" w:hAnsiTheme="minorHAnsi"/>
          <w:sz w:val="24"/>
        </w:rPr>
        <w:t xml:space="preserve">, </w:t>
      </w:r>
      <w:proofErr w:type="spellStart"/>
      <w:r>
        <w:rPr>
          <w:rFonts w:asciiTheme="minorHAnsi" w:hAnsiTheme="minorHAnsi"/>
          <w:sz w:val="24"/>
        </w:rPr>
        <w:t>Nyangezi</w:t>
      </w:r>
      <w:proofErr w:type="spellEnd"/>
      <w:r>
        <w:rPr>
          <w:rFonts w:asciiTheme="minorHAnsi" w:hAnsiTheme="minorHAnsi"/>
          <w:sz w:val="24"/>
        </w:rPr>
        <w:t xml:space="preserve">, </w:t>
      </w:r>
      <w:proofErr w:type="spellStart"/>
      <w:r>
        <w:rPr>
          <w:rFonts w:asciiTheme="minorHAnsi" w:hAnsiTheme="minorHAnsi"/>
          <w:sz w:val="24"/>
        </w:rPr>
        <w:t>Kamanyola</w:t>
      </w:r>
      <w:proofErr w:type="spellEnd"/>
      <w:r>
        <w:rPr>
          <w:rFonts w:asciiTheme="minorHAnsi" w:hAnsiTheme="minorHAnsi"/>
          <w:sz w:val="24"/>
        </w:rPr>
        <w:t xml:space="preserve">, </w:t>
      </w:r>
      <w:proofErr w:type="spellStart"/>
      <w:r>
        <w:rPr>
          <w:rFonts w:asciiTheme="minorHAnsi" w:hAnsiTheme="minorHAnsi"/>
          <w:sz w:val="24"/>
        </w:rPr>
        <w:t>Luvungi</w:t>
      </w:r>
      <w:proofErr w:type="spellEnd"/>
      <w:r>
        <w:rPr>
          <w:rFonts w:asciiTheme="minorHAnsi" w:hAnsiTheme="minorHAnsi"/>
          <w:sz w:val="24"/>
        </w:rPr>
        <w:t xml:space="preserve">, </w:t>
      </w:r>
      <w:proofErr w:type="spellStart"/>
      <w:r>
        <w:rPr>
          <w:rFonts w:asciiTheme="minorHAnsi" w:hAnsiTheme="minorHAnsi"/>
          <w:sz w:val="24"/>
        </w:rPr>
        <w:t>Luberizi</w:t>
      </w:r>
      <w:proofErr w:type="spellEnd"/>
      <w:r>
        <w:rPr>
          <w:rFonts w:asciiTheme="minorHAnsi" w:hAnsiTheme="minorHAnsi"/>
          <w:sz w:val="24"/>
        </w:rPr>
        <w:t xml:space="preserve"> y </w:t>
      </w:r>
      <w:proofErr w:type="spellStart"/>
      <w:r>
        <w:rPr>
          <w:rFonts w:asciiTheme="minorHAnsi" w:hAnsiTheme="minorHAnsi"/>
          <w:sz w:val="24"/>
        </w:rPr>
        <w:t>Sange</w:t>
      </w:r>
      <w:proofErr w:type="spellEnd"/>
      <w:r>
        <w:rPr>
          <w:rFonts w:asciiTheme="minorHAnsi" w:hAnsiTheme="minorHAnsi"/>
          <w:sz w:val="24"/>
        </w:rPr>
        <w:t xml:space="preserve">), χ2 (7, n = 456) = 12. La misma diferencia se observó en las puntuaciones de las percepciones personales, χ2 (7, n = 456) = 46,796, p = 0,000, así como en las puntuaciones de las percepciones económicas.725, p = 0,04, la misma diferencia se observó en las puntuaciones de las percepciones personales, χ2 (7, n = 456) = 46,796, p = 0,000, así como en las puntuaciones de las percepciones sociales, χ2 (7, n = 456) = 47,533, p = 0,000. En cuanto a las percepciones económicas, la puntuación mediana más alta se registró en los grupos de </w:t>
      </w:r>
      <w:proofErr w:type="spellStart"/>
      <w:r>
        <w:rPr>
          <w:rFonts w:asciiTheme="minorHAnsi" w:hAnsiTheme="minorHAnsi"/>
          <w:sz w:val="24"/>
        </w:rPr>
        <w:t>Nyangezi</w:t>
      </w:r>
      <w:proofErr w:type="spellEnd"/>
      <w:r>
        <w:rPr>
          <w:rFonts w:asciiTheme="minorHAnsi" w:hAnsiTheme="minorHAnsi"/>
          <w:sz w:val="24"/>
        </w:rPr>
        <w:t xml:space="preserve"> y </w:t>
      </w:r>
      <w:proofErr w:type="spellStart"/>
      <w:r>
        <w:rPr>
          <w:rFonts w:asciiTheme="minorHAnsi" w:hAnsiTheme="minorHAnsi"/>
          <w:sz w:val="24"/>
        </w:rPr>
        <w:t>Luberizi</w:t>
      </w:r>
      <w:proofErr w:type="spellEnd"/>
      <w:r>
        <w:rPr>
          <w:rFonts w:asciiTheme="minorHAnsi" w:hAnsiTheme="minorHAnsi"/>
          <w:sz w:val="24"/>
        </w:rPr>
        <w:t xml:space="preserve"> (</w:t>
      </w:r>
      <w:proofErr w:type="spellStart"/>
      <w:r>
        <w:rPr>
          <w:rFonts w:asciiTheme="minorHAnsi" w:hAnsiTheme="minorHAnsi"/>
          <w:sz w:val="24"/>
        </w:rPr>
        <w:t>Med</w:t>
      </w:r>
      <w:proofErr w:type="spellEnd"/>
      <w:r>
        <w:rPr>
          <w:rFonts w:asciiTheme="minorHAnsi" w:hAnsiTheme="minorHAnsi"/>
          <w:sz w:val="24"/>
        </w:rPr>
        <w:t>=3,4), los demás grupos registraron la misma puntuación (</w:t>
      </w:r>
      <w:proofErr w:type="spellStart"/>
      <w:r>
        <w:rPr>
          <w:rFonts w:asciiTheme="minorHAnsi" w:hAnsiTheme="minorHAnsi"/>
          <w:sz w:val="24"/>
        </w:rPr>
        <w:t>Med</w:t>
      </w:r>
      <w:proofErr w:type="spellEnd"/>
      <w:r>
        <w:rPr>
          <w:rFonts w:asciiTheme="minorHAnsi" w:hAnsiTheme="minorHAnsi"/>
          <w:sz w:val="24"/>
        </w:rPr>
        <w:t xml:space="preserve">= 3,2). El grupo de </w:t>
      </w:r>
      <w:proofErr w:type="spellStart"/>
      <w:r>
        <w:rPr>
          <w:rFonts w:asciiTheme="minorHAnsi" w:hAnsiTheme="minorHAnsi"/>
          <w:sz w:val="24"/>
        </w:rPr>
        <w:t>Kavumu</w:t>
      </w:r>
      <w:proofErr w:type="spellEnd"/>
      <w:r>
        <w:rPr>
          <w:rFonts w:asciiTheme="minorHAnsi" w:hAnsiTheme="minorHAnsi"/>
          <w:sz w:val="24"/>
        </w:rPr>
        <w:t xml:space="preserve"> registró la puntuación más alta (</w:t>
      </w:r>
      <w:proofErr w:type="spellStart"/>
      <w:r>
        <w:rPr>
          <w:rFonts w:asciiTheme="minorHAnsi" w:hAnsiTheme="minorHAnsi"/>
          <w:sz w:val="24"/>
        </w:rPr>
        <w:t>Med</w:t>
      </w:r>
      <w:proofErr w:type="spellEnd"/>
      <w:r>
        <w:rPr>
          <w:rFonts w:asciiTheme="minorHAnsi" w:hAnsiTheme="minorHAnsi"/>
          <w:sz w:val="24"/>
        </w:rPr>
        <w:t xml:space="preserve">=3,8). Por último, el grupo de </w:t>
      </w:r>
      <w:proofErr w:type="spellStart"/>
      <w:r>
        <w:rPr>
          <w:rFonts w:asciiTheme="minorHAnsi" w:hAnsiTheme="minorHAnsi"/>
          <w:sz w:val="24"/>
        </w:rPr>
        <w:t>Kavumu</w:t>
      </w:r>
      <w:proofErr w:type="spellEnd"/>
      <w:r>
        <w:rPr>
          <w:rFonts w:asciiTheme="minorHAnsi" w:hAnsiTheme="minorHAnsi"/>
          <w:sz w:val="24"/>
        </w:rPr>
        <w:t xml:space="preserve"> y </w:t>
      </w:r>
      <w:proofErr w:type="spellStart"/>
      <w:r>
        <w:rPr>
          <w:rFonts w:asciiTheme="minorHAnsi" w:hAnsiTheme="minorHAnsi"/>
          <w:sz w:val="24"/>
        </w:rPr>
        <w:t>Luberizi</w:t>
      </w:r>
      <w:proofErr w:type="spellEnd"/>
      <w:r>
        <w:rPr>
          <w:rFonts w:asciiTheme="minorHAnsi" w:hAnsiTheme="minorHAnsi"/>
          <w:sz w:val="24"/>
        </w:rPr>
        <w:t xml:space="preserve"> registró la puntuación mediana más alta sobre percepciones sociales (</w:t>
      </w:r>
      <w:proofErr w:type="spellStart"/>
      <w:r>
        <w:rPr>
          <w:rFonts w:asciiTheme="minorHAnsi" w:hAnsiTheme="minorHAnsi"/>
          <w:sz w:val="24"/>
        </w:rPr>
        <w:t>Med</w:t>
      </w:r>
      <w:proofErr w:type="spellEnd"/>
      <w:r>
        <w:rPr>
          <w:rFonts w:asciiTheme="minorHAnsi" w:hAnsiTheme="minorHAnsi"/>
          <w:sz w:val="24"/>
        </w:rPr>
        <w:t>=3,8).</w:t>
      </w:r>
    </w:p>
    <w:p w14:paraId="34E529B6" w14:textId="77777777" w:rsidR="00565591" w:rsidRDefault="00565591" w:rsidP="00565591">
      <w:pPr>
        <w:pStyle w:val="Numeracion"/>
        <w:tabs>
          <w:tab w:val="clear" w:pos="720"/>
        </w:tabs>
        <w:ind w:left="0" w:firstLine="0"/>
        <w:jc w:val="center"/>
        <w:rPr>
          <w:rFonts w:asciiTheme="minorHAnsi" w:hAnsiTheme="minorHAnsi"/>
          <w:sz w:val="24"/>
        </w:rPr>
      </w:pPr>
    </w:p>
    <w:p w14:paraId="52BBA806" w14:textId="77777777" w:rsidR="00D10A18" w:rsidRPr="00D10A18" w:rsidRDefault="00D10A18" w:rsidP="00D10A18"/>
    <w:p w14:paraId="567E05DB" w14:textId="77777777" w:rsidR="00565591" w:rsidRDefault="00565591" w:rsidP="00565591">
      <w:pPr>
        <w:pStyle w:val="Numeracion"/>
        <w:tabs>
          <w:tab w:val="clear" w:pos="720"/>
        </w:tabs>
        <w:ind w:left="0" w:firstLine="0"/>
        <w:jc w:val="center"/>
        <w:rPr>
          <w:rFonts w:asciiTheme="minorHAnsi" w:hAnsiTheme="minorHAnsi"/>
          <w:sz w:val="28"/>
          <w:szCs w:val="28"/>
        </w:rPr>
      </w:pPr>
      <w:r>
        <w:rPr>
          <w:rFonts w:asciiTheme="minorHAnsi" w:hAnsiTheme="minorHAnsi"/>
          <w:sz w:val="28"/>
        </w:rPr>
        <w:t>Debate y conclusiones</w:t>
      </w:r>
    </w:p>
    <w:p w14:paraId="4936BE93" w14:textId="77777777" w:rsidR="00D10A18" w:rsidRPr="00D10A18" w:rsidRDefault="00D10A18" w:rsidP="00D10A18"/>
    <w:p w14:paraId="3BB37B20" w14:textId="77777777" w:rsidR="00565591" w:rsidRPr="00565591" w:rsidRDefault="00565591" w:rsidP="00565591">
      <w:pPr>
        <w:ind w:firstLine="709"/>
        <w:rPr>
          <w:rFonts w:asciiTheme="minorHAnsi" w:hAnsiTheme="minorHAnsi"/>
          <w:sz w:val="24"/>
        </w:rPr>
      </w:pPr>
      <w:r>
        <w:rPr>
          <w:rFonts w:asciiTheme="minorHAnsi" w:hAnsiTheme="minorHAnsi"/>
          <w:sz w:val="24"/>
        </w:rPr>
        <w:t xml:space="preserve">De los resultados presentados en el apartado anterior, se deduce que en la provincia de Kivu del Sur más de la mitad de los jóvenes rurales (53,5%), tienen una actitud negativa hacia la agroindustria como profesión, el 29,8% de los jóvenes tienen una actitud neutra y sólo el 16,7% de ellos son positivos hacia la agroindustria. Estos resultados no distan mucho de los hallados por </w:t>
      </w:r>
      <w:proofErr w:type="spellStart"/>
      <w:r>
        <w:rPr>
          <w:rFonts w:asciiTheme="minorHAnsi" w:hAnsiTheme="minorHAnsi"/>
          <w:sz w:val="24"/>
        </w:rPr>
        <w:t>Uttej</w:t>
      </w:r>
      <w:proofErr w:type="spellEnd"/>
      <w:r>
        <w:rPr>
          <w:rFonts w:asciiTheme="minorHAnsi" w:hAnsiTheme="minorHAnsi"/>
          <w:sz w:val="24"/>
        </w:rPr>
        <w:t xml:space="preserve"> et al. (2020) en la India, aunque el contexto es diferente. </w:t>
      </w:r>
      <w:proofErr w:type="spellStart"/>
      <w:r>
        <w:rPr>
          <w:rFonts w:asciiTheme="minorHAnsi" w:hAnsiTheme="minorHAnsi"/>
          <w:sz w:val="24"/>
        </w:rPr>
        <w:t>Uttej</w:t>
      </w:r>
      <w:proofErr w:type="spellEnd"/>
      <w:r>
        <w:rPr>
          <w:rFonts w:asciiTheme="minorHAnsi" w:hAnsiTheme="minorHAnsi"/>
          <w:sz w:val="24"/>
        </w:rPr>
        <w:t xml:space="preserve"> y sus coautores descubrieron que un tercio (34,2%) de los jóvenes tenía una actitud neutra hacia la agricultura, seguidos de los que tenían una actitud moderadamente favorable (28,3%) y moderadamente desfavorable (18,4%), mientras que sólo un 10,8% era muy favorable y un 8,3% tenía una actitud desfavorable. La falta de interés por la agroindustria se debe a la imagen negativa que la sociedad tiene de la agricultura y los sectores afines en los países en desarrollo en general. En Kivu del Sur, la percepción negativa hacia la agroindustria también influye en la minería artesanal, considerada más rentable por los jóvenes. Los testimonios recogidos durante las encuestas sobre el terreno indican que el fomento de la agroindustria también se ve limitado por la falta de concienciación. Obsérvese también que el sistema educativo actual tiende a preparar a los jóvenes para carreras no agrícolas. Por ello, la agroindustria se considera en Sud-Kivu una carrera para los más pobres que han fracasado en la escuela. Conflictos armados que casi han destruido el tejido socioeconómico, convirtiendo en hostiles algunas zonas rurales y reduciendo al mismo tiempo la capacidad del gobierno para estimular una nueva dinámica económica. </w:t>
      </w:r>
    </w:p>
    <w:p w14:paraId="6F8748EC" w14:textId="77777777" w:rsidR="00565591" w:rsidRPr="00565591" w:rsidRDefault="00565591" w:rsidP="00565591">
      <w:pPr>
        <w:ind w:firstLine="709"/>
        <w:contextualSpacing/>
        <w:rPr>
          <w:rFonts w:asciiTheme="minorHAnsi" w:hAnsiTheme="minorHAnsi"/>
          <w:sz w:val="24"/>
        </w:rPr>
      </w:pPr>
      <w:r>
        <w:rPr>
          <w:rFonts w:asciiTheme="minorHAnsi" w:hAnsiTheme="minorHAnsi"/>
          <w:sz w:val="24"/>
        </w:rPr>
        <w:t xml:space="preserve">De hecho, el 77,6% de los jóvenes rurales encuestados están de acuerdo o muy de acuerdo en que la agroindustria no les permite satisfacer todas sus necesidades básicas. </w:t>
      </w:r>
      <w:proofErr w:type="spellStart"/>
      <w:r>
        <w:rPr>
          <w:rFonts w:asciiTheme="minorHAnsi" w:hAnsiTheme="minorHAnsi"/>
          <w:sz w:val="24"/>
        </w:rPr>
        <w:t>Sarju</w:t>
      </w:r>
      <w:proofErr w:type="spellEnd"/>
      <w:r>
        <w:rPr>
          <w:rFonts w:asciiTheme="minorHAnsi" w:hAnsiTheme="minorHAnsi"/>
          <w:sz w:val="24"/>
        </w:rPr>
        <w:t xml:space="preserve"> et al. (2015) revelaron casi las mismas tendencias en uno de los distritos de la India. El autor indicó que el 100% de los jóvenes dedicados a la agricultura percibían que los ingresos agrícolas no les permitían cubrir sus necesidades básicas, y el 71,43% de ellos estaban de acuerdo en dejar la agricultura. Estas percepciones, unidas a la imagen negativa que se atribuye al sector agrícola, pueden justificar el número de jóvenes (76,3%) que están de acuerdo con la declaración según la cual sólo pueden dedicarse a la </w:t>
      </w:r>
      <w:r>
        <w:rPr>
          <w:rFonts w:asciiTheme="minorHAnsi" w:hAnsiTheme="minorHAnsi"/>
          <w:sz w:val="24"/>
        </w:rPr>
        <w:lastRenderedPageBreak/>
        <w:t xml:space="preserve">agricultura cuando no tienen otro trabajo. Estos datos de Kivu del Sur se acercan a las afirmaciones de </w:t>
      </w:r>
      <w:proofErr w:type="spellStart"/>
      <w:r>
        <w:rPr>
          <w:rFonts w:asciiTheme="minorHAnsi" w:hAnsiTheme="minorHAnsi"/>
          <w:sz w:val="24"/>
        </w:rPr>
        <w:t>Sanginga</w:t>
      </w:r>
      <w:proofErr w:type="spellEnd"/>
      <w:r>
        <w:rPr>
          <w:rFonts w:asciiTheme="minorHAnsi" w:hAnsiTheme="minorHAnsi"/>
          <w:sz w:val="24"/>
        </w:rPr>
        <w:t xml:space="preserve"> (2015), que indica que los jóvenes africanos perciben la agricultura como un trabajo de alta intensidad, con condiciones laborales difíciles y grandes riesgos. Obsérvese también el estudio realizado por Allen et al. (2016) en Nigeria, Ruanda y Tanzania que confirman que la agricultura es ampliamente percibida por los jóvenes como una actividad poco atractiva, tradicional, intensiva en mano de obra y que genera pocos o ningún beneficio.</w:t>
      </w:r>
    </w:p>
    <w:p w14:paraId="34057ED2" w14:textId="77777777" w:rsidR="00565591" w:rsidRPr="00565591" w:rsidRDefault="00565591" w:rsidP="00565591">
      <w:pPr>
        <w:ind w:firstLine="709"/>
        <w:contextualSpacing/>
        <w:rPr>
          <w:rFonts w:asciiTheme="minorHAnsi" w:hAnsiTheme="minorHAnsi"/>
          <w:sz w:val="24"/>
        </w:rPr>
      </w:pPr>
      <w:r>
        <w:rPr>
          <w:rFonts w:asciiTheme="minorHAnsi" w:hAnsiTheme="minorHAnsi"/>
          <w:sz w:val="24"/>
        </w:rPr>
        <w:t xml:space="preserve">Este estudio analizó la influencia de los factores en las percepciones de los jóvenes rurales hacia la agroindustria en Kivu del Sur. Por tanto, se trata sobre todo del sexo, la edad, el nivel de estudios y la zona de origen. El análisis se centró en aspectos económicos, personales y de percepción social. Al parecer, tres de los cuatro factores analizados (edad, sexo y nivel educativo) influyeron significativamente en las percepciones personales de los jóvenes rurales, así como en sus percepciones sociales. El estudio reveló también que sólo la zona de origen (entorno vital) ha influido significativamente en las percepciones de los jóvenes rurales económicos hacia la agroindustria. En cuanto al valor medio de la puntuación de las percepciones económicas, la puntuación más alta se registra en el grupo de </w:t>
      </w:r>
      <w:proofErr w:type="spellStart"/>
      <w:r>
        <w:rPr>
          <w:rFonts w:asciiTheme="minorHAnsi" w:hAnsiTheme="minorHAnsi"/>
          <w:sz w:val="24"/>
        </w:rPr>
        <w:t>Nyangezi</w:t>
      </w:r>
      <w:proofErr w:type="spellEnd"/>
      <w:r>
        <w:rPr>
          <w:rFonts w:asciiTheme="minorHAnsi" w:hAnsiTheme="minorHAnsi"/>
          <w:sz w:val="24"/>
        </w:rPr>
        <w:t xml:space="preserve"> y </w:t>
      </w:r>
      <w:proofErr w:type="spellStart"/>
      <w:r>
        <w:rPr>
          <w:rFonts w:asciiTheme="minorHAnsi" w:hAnsiTheme="minorHAnsi"/>
          <w:sz w:val="24"/>
        </w:rPr>
        <w:t>Luberizi</w:t>
      </w:r>
      <w:proofErr w:type="spellEnd"/>
      <w:r>
        <w:rPr>
          <w:rFonts w:asciiTheme="minorHAnsi" w:hAnsiTheme="minorHAnsi"/>
          <w:sz w:val="24"/>
        </w:rPr>
        <w:t xml:space="preserve">. Estos resultados son similares a los comunicados por </w:t>
      </w:r>
      <w:proofErr w:type="spellStart"/>
      <w:r>
        <w:rPr>
          <w:rFonts w:asciiTheme="minorHAnsi" w:hAnsiTheme="minorHAnsi"/>
          <w:sz w:val="24"/>
        </w:rPr>
        <w:t>Leavy</w:t>
      </w:r>
      <w:proofErr w:type="spellEnd"/>
      <w:r>
        <w:rPr>
          <w:rFonts w:asciiTheme="minorHAnsi" w:hAnsiTheme="minorHAnsi"/>
          <w:sz w:val="24"/>
        </w:rPr>
        <w:t xml:space="preserve"> y </w:t>
      </w:r>
      <w:proofErr w:type="spellStart"/>
      <w:r>
        <w:rPr>
          <w:rFonts w:asciiTheme="minorHAnsi" w:hAnsiTheme="minorHAnsi"/>
          <w:sz w:val="24"/>
        </w:rPr>
        <w:t>Hossain</w:t>
      </w:r>
      <w:proofErr w:type="spellEnd"/>
      <w:r>
        <w:rPr>
          <w:rFonts w:asciiTheme="minorHAnsi" w:hAnsiTheme="minorHAnsi"/>
          <w:sz w:val="24"/>
        </w:rPr>
        <w:t xml:space="preserve"> (2014) a través de un estudio realizado en 23 zonas urbanas y rurales situadas en 10 países, incluidos 4 cortesanos de África (Burkina Faso, Etiopía, Kenia y Zambia). Los autores llegaron a la conclusión de que la agricultura no es una opción preferida por la generación más joven de las zonas rurales. También descubrieron que el alto nivel educativo de los jóvenes estaba fuertemente correlacionado con unas aspiraciones profesionales muy altas, tanto por parte de los jóvenes como de sus padres y de la sociedad. La influencia de las percepciones de los jóvenes debido al nivel educativo también es observada por Katz (2004), quien indicó que la agricultura se clasifica como profesión sólo para aquellos que no han tenido éxito en la escuela. Otros estudios, como el de </w:t>
      </w:r>
      <w:proofErr w:type="spellStart"/>
      <w:r>
        <w:rPr>
          <w:rFonts w:asciiTheme="minorHAnsi" w:hAnsiTheme="minorHAnsi"/>
          <w:sz w:val="24"/>
        </w:rPr>
        <w:t>Barratt</w:t>
      </w:r>
      <w:proofErr w:type="spellEnd"/>
      <w:r>
        <w:rPr>
          <w:rFonts w:asciiTheme="minorHAnsi" w:hAnsiTheme="minorHAnsi"/>
          <w:sz w:val="24"/>
        </w:rPr>
        <w:t xml:space="preserve"> et al. (2012) también </w:t>
      </w:r>
      <w:proofErr w:type="spellStart"/>
      <w:r>
        <w:rPr>
          <w:rFonts w:asciiTheme="minorHAnsi" w:hAnsiTheme="minorHAnsi"/>
          <w:sz w:val="24"/>
        </w:rPr>
        <w:t>Sumberg</w:t>
      </w:r>
      <w:proofErr w:type="spellEnd"/>
      <w:r>
        <w:rPr>
          <w:rFonts w:asciiTheme="minorHAnsi" w:hAnsiTheme="minorHAnsi"/>
          <w:sz w:val="24"/>
        </w:rPr>
        <w:t xml:space="preserve"> y </w:t>
      </w:r>
      <w:proofErr w:type="spellStart"/>
      <w:r>
        <w:rPr>
          <w:rFonts w:asciiTheme="minorHAnsi" w:hAnsiTheme="minorHAnsi"/>
          <w:sz w:val="24"/>
        </w:rPr>
        <w:t>Okali</w:t>
      </w:r>
      <w:proofErr w:type="spellEnd"/>
      <w:r>
        <w:rPr>
          <w:rFonts w:asciiTheme="minorHAnsi" w:hAnsiTheme="minorHAnsi"/>
          <w:sz w:val="24"/>
        </w:rPr>
        <w:t xml:space="preserve"> (2013) concluyeron que la mayoría de los jóvenes no consideran la agricultura como una carrera profesional, sino más bien como un trabajo agotador que genera baja productividad y ofrece menos ingresos y menos consideración social.</w:t>
      </w:r>
    </w:p>
    <w:p w14:paraId="51DF0625" w14:textId="77777777" w:rsidR="00565591" w:rsidRPr="00565591" w:rsidRDefault="00565591" w:rsidP="00565591">
      <w:pPr>
        <w:ind w:firstLine="709"/>
        <w:contextualSpacing/>
        <w:rPr>
          <w:rFonts w:asciiTheme="minorHAnsi" w:hAnsiTheme="minorHAnsi"/>
          <w:sz w:val="24"/>
        </w:rPr>
      </w:pPr>
      <w:r>
        <w:rPr>
          <w:rFonts w:asciiTheme="minorHAnsi" w:hAnsiTheme="minorHAnsi"/>
          <w:sz w:val="24"/>
        </w:rPr>
        <w:t xml:space="preserve">La participación de los jóvenes rurales en la agroindustria sigue siendo un pilar locomotor en el que el mundo, y más concretamente la República Democrática del Congo, deben apoyarse para impulsar la economía local, reducir la pobreza extrema y luchar contra la crisis del empleo juvenil, así como contra la inseguridad alimentaria. Hay que realizar un trabajo de fondo para garantizar la imagen positiva de los jóvenes, porque la brecha generacional agrícola que revela este estudio puede comprometer la seguridad alimentaria y la economía local. </w:t>
      </w:r>
      <w:bookmarkStart w:id="1" w:name="_Hlk132293558"/>
      <w:r>
        <w:rPr>
          <w:rFonts w:asciiTheme="minorHAnsi" w:hAnsiTheme="minorHAnsi"/>
          <w:sz w:val="24"/>
        </w:rPr>
        <w:t xml:space="preserve">Por lo tanto, es necesaria una nueva dinámica de sensibilización en favor de la profesión agroindustrial, en la que participen el gobierno, el sistema educativo, los medios de comunicación, los agentes del desarrollo y otras estructuras sociales. </w:t>
      </w:r>
      <w:bookmarkEnd w:id="1"/>
    </w:p>
    <w:p w14:paraId="73FB9AB2" w14:textId="77777777" w:rsidR="00565591" w:rsidRDefault="00565591" w:rsidP="00565591">
      <w:pPr>
        <w:ind w:firstLine="0"/>
        <w:rPr>
          <w:rFonts w:asciiTheme="minorHAnsi" w:hAnsiTheme="minorHAnsi"/>
          <w:color w:val="3366FF"/>
          <w:sz w:val="24"/>
        </w:rPr>
      </w:pPr>
    </w:p>
    <w:p w14:paraId="120A4BA9" w14:textId="77777777" w:rsidR="00565591" w:rsidRPr="00D10A18" w:rsidRDefault="00565591" w:rsidP="00565591">
      <w:pPr>
        <w:ind w:firstLine="0"/>
        <w:jc w:val="center"/>
        <w:rPr>
          <w:rFonts w:asciiTheme="minorHAnsi" w:hAnsiTheme="minorHAnsi"/>
          <w:b/>
          <w:color w:val="000000" w:themeColor="text1"/>
          <w:sz w:val="28"/>
          <w:szCs w:val="28"/>
        </w:rPr>
      </w:pPr>
      <w:r>
        <w:rPr>
          <w:rFonts w:asciiTheme="minorHAnsi" w:hAnsiTheme="minorHAnsi"/>
          <w:b/>
          <w:color w:val="000000" w:themeColor="text1"/>
          <w:sz w:val="28"/>
        </w:rPr>
        <w:t>Referencias</w:t>
      </w:r>
    </w:p>
    <w:p w14:paraId="30053FF4" w14:textId="77777777" w:rsidR="00565591" w:rsidRPr="00565591" w:rsidRDefault="00565591" w:rsidP="00565591">
      <w:pPr>
        <w:ind w:firstLine="0"/>
        <w:rPr>
          <w:rFonts w:asciiTheme="minorHAnsi" w:hAnsiTheme="minorHAnsi"/>
          <w:b/>
          <w:color w:val="000000" w:themeColor="text1"/>
          <w:sz w:val="24"/>
          <w:lang w:val="es-MX"/>
        </w:rPr>
      </w:pPr>
    </w:p>
    <w:p w14:paraId="547337E6" w14:textId="77777777" w:rsidR="00565591" w:rsidRPr="006F1472" w:rsidRDefault="00565591" w:rsidP="00565591">
      <w:pPr>
        <w:suppressAutoHyphens/>
        <w:ind w:left="709" w:hanging="709"/>
        <w:contextualSpacing/>
        <w:rPr>
          <w:rFonts w:asciiTheme="minorHAnsi" w:hAnsiTheme="minorHAnsi"/>
          <w:color w:val="0000FF" w:themeColor="hyperlink"/>
          <w:szCs w:val="22"/>
          <w:u w:val="single"/>
        </w:rPr>
      </w:pPr>
      <w:proofErr w:type="spellStart"/>
      <w:r w:rsidRPr="006F1472">
        <w:rPr>
          <w:rFonts w:asciiTheme="minorHAnsi" w:hAnsiTheme="minorHAnsi"/>
          <w:szCs w:val="22"/>
        </w:rPr>
        <w:t>African</w:t>
      </w:r>
      <w:proofErr w:type="spellEnd"/>
      <w:r w:rsidRPr="006F1472">
        <w:rPr>
          <w:rFonts w:asciiTheme="minorHAnsi" w:hAnsiTheme="minorHAnsi"/>
          <w:szCs w:val="22"/>
        </w:rPr>
        <w:t xml:space="preserve"> </w:t>
      </w:r>
      <w:proofErr w:type="spellStart"/>
      <w:r w:rsidRPr="006F1472">
        <w:rPr>
          <w:rFonts w:asciiTheme="minorHAnsi" w:hAnsiTheme="minorHAnsi"/>
          <w:szCs w:val="22"/>
        </w:rPr>
        <w:t>Union</w:t>
      </w:r>
      <w:proofErr w:type="spellEnd"/>
      <w:r w:rsidRPr="006F1472">
        <w:rPr>
          <w:rFonts w:asciiTheme="minorHAnsi" w:hAnsiTheme="minorHAnsi"/>
          <w:szCs w:val="22"/>
        </w:rPr>
        <w:t xml:space="preserve"> (2006). </w:t>
      </w:r>
      <w:proofErr w:type="spellStart"/>
      <w:r w:rsidRPr="006F1472">
        <w:rPr>
          <w:rFonts w:asciiTheme="minorHAnsi" w:hAnsiTheme="minorHAnsi"/>
          <w:i/>
          <w:szCs w:val="22"/>
        </w:rPr>
        <w:t>Charte</w:t>
      </w:r>
      <w:proofErr w:type="spellEnd"/>
      <w:r w:rsidRPr="006F1472">
        <w:rPr>
          <w:rFonts w:asciiTheme="minorHAnsi" w:hAnsiTheme="minorHAnsi"/>
          <w:i/>
          <w:szCs w:val="22"/>
        </w:rPr>
        <w:t xml:space="preserve"> </w:t>
      </w:r>
      <w:proofErr w:type="spellStart"/>
      <w:r w:rsidRPr="006F1472">
        <w:rPr>
          <w:rFonts w:asciiTheme="minorHAnsi" w:hAnsiTheme="minorHAnsi"/>
          <w:i/>
          <w:szCs w:val="22"/>
        </w:rPr>
        <w:t>Africaine</w:t>
      </w:r>
      <w:proofErr w:type="spellEnd"/>
      <w:r w:rsidRPr="006F1472">
        <w:rPr>
          <w:rFonts w:asciiTheme="minorHAnsi" w:hAnsiTheme="minorHAnsi"/>
          <w:i/>
          <w:szCs w:val="22"/>
        </w:rPr>
        <w:t xml:space="preserve"> de la </w:t>
      </w:r>
      <w:proofErr w:type="spellStart"/>
      <w:r w:rsidRPr="006F1472">
        <w:rPr>
          <w:rFonts w:asciiTheme="minorHAnsi" w:hAnsiTheme="minorHAnsi"/>
          <w:i/>
          <w:szCs w:val="22"/>
        </w:rPr>
        <w:t>Jeunesse</w:t>
      </w:r>
      <w:proofErr w:type="spellEnd"/>
      <w:r w:rsidRPr="006F1472">
        <w:rPr>
          <w:rFonts w:asciiTheme="minorHAnsi" w:hAnsiTheme="minorHAnsi"/>
          <w:i/>
          <w:szCs w:val="22"/>
        </w:rPr>
        <w:t xml:space="preserve">. </w:t>
      </w:r>
      <w:proofErr w:type="spellStart"/>
      <w:r w:rsidRPr="006F1472">
        <w:rPr>
          <w:rFonts w:asciiTheme="minorHAnsi" w:hAnsiTheme="minorHAnsi"/>
          <w:i/>
          <w:szCs w:val="22"/>
        </w:rPr>
        <w:t>Adoptée</w:t>
      </w:r>
      <w:proofErr w:type="spellEnd"/>
      <w:r w:rsidRPr="006F1472">
        <w:rPr>
          <w:rFonts w:asciiTheme="minorHAnsi" w:hAnsiTheme="minorHAnsi"/>
          <w:i/>
          <w:szCs w:val="22"/>
        </w:rPr>
        <w:t xml:space="preserve"> par la </w:t>
      </w:r>
      <w:proofErr w:type="spellStart"/>
      <w:r w:rsidRPr="006F1472">
        <w:rPr>
          <w:rFonts w:asciiTheme="minorHAnsi" w:hAnsiTheme="minorHAnsi"/>
          <w:i/>
          <w:szCs w:val="22"/>
        </w:rPr>
        <w:t>septième</w:t>
      </w:r>
      <w:proofErr w:type="spellEnd"/>
      <w:r w:rsidRPr="006F1472">
        <w:rPr>
          <w:rFonts w:asciiTheme="minorHAnsi" w:hAnsiTheme="minorHAnsi"/>
          <w:i/>
          <w:szCs w:val="22"/>
        </w:rPr>
        <w:t xml:space="preserve"> </w:t>
      </w:r>
      <w:proofErr w:type="spellStart"/>
      <w:r w:rsidRPr="006F1472">
        <w:rPr>
          <w:rFonts w:asciiTheme="minorHAnsi" w:hAnsiTheme="minorHAnsi"/>
          <w:i/>
          <w:szCs w:val="22"/>
        </w:rPr>
        <w:t>session</w:t>
      </w:r>
      <w:proofErr w:type="spellEnd"/>
      <w:r w:rsidRPr="006F1472">
        <w:rPr>
          <w:rFonts w:asciiTheme="minorHAnsi" w:hAnsiTheme="minorHAnsi"/>
          <w:i/>
          <w:szCs w:val="22"/>
        </w:rPr>
        <w:t xml:space="preserve"> </w:t>
      </w:r>
      <w:proofErr w:type="spellStart"/>
      <w:r w:rsidRPr="006F1472">
        <w:rPr>
          <w:rFonts w:asciiTheme="minorHAnsi" w:hAnsiTheme="minorHAnsi"/>
          <w:i/>
          <w:szCs w:val="22"/>
        </w:rPr>
        <w:t>ordinaire</w:t>
      </w:r>
      <w:proofErr w:type="spellEnd"/>
      <w:r w:rsidRPr="006F1472">
        <w:rPr>
          <w:rFonts w:asciiTheme="minorHAnsi" w:hAnsiTheme="minorHAnsi"/>
          <w:i/>
          <w:szCs w:val="22"/>
        </w:rPr>
        <w:t xml:space="preserve"> de la </w:t>
      </w:r>
      <w:proofErr w:type="spellStart"/>
      <w:r w:rsidRPr="006F1472">
        <w:rPr>
          <w:rFonts w:asciiTheme="minorHAnsi" w:hAnsiTheme="minorHAnsi"/>
          <w:i/>
          <w:szCs w:val="22"/>
        </w:rPr>
        <w:t>conférence</w:t>
      </w:r>
      <w:proofErr w:type="spellEnd"/>
      <w:r w:rsidRPr="006F1472">
        <w:rPr>
          <w:rFonts w:asciiTheme="minorHAnsi" w:hAnsiTheme="minorHAnsi"/>
          <w:i/>
          <w:szCs w:val="22"/>
        </w:rPr>
        <w:t xml:space="preserve"> tenue le 2 </w:t>
      </w:r>
      <w:proofErr w:type="spellStart"/>
      <w:r w:rsidRPr="006F1472">
        <w:rPr>
          <w:rFonts w:asciiTheme="minorHAnsi" w:hAnsiTheme="minorHAnsi"/>
          <w:i/>
          <w:szCs w:val="22"/>
        </w:rPr>
        <w:t>juillet</w:t>
      </w:r>
      <w:proofErr w:type="spellEnd"/>
      <w:r w:rsidRPr="006F1472">
        <w:rPr>
          <w:rFonts w:asciiTheme="minorHAnsi" w:hAnsiTheme="minorHAnsi"/>
          <w:i/>
          <w:szCs w:val="22"/>
        </w:rPr>
        <w:t xml:space="preserve"> 2006 à Banjul</w:t>
      </w:r>
      <w:r w:rsidRPr="006F1472">
        <w:rPr>
          <w:rFonts w:asciiTheme="minorHAnsi" w:hAnsiTheme="minorHAnsi"/>
          <w:szCs w:val="22"/>
        </w:rPr>
        <w:t xml:space="preserve"> (</w:t>
      </w:r>
      <w:proofErr w:type="spellStart"/>
      <w:r w:rsidRPr="006F1472">
        <w:rPr>
          <w:rFonts w:asciiTheme="minorHAnsi" w:hAnsiTheme="minorHAnsi"/>
          <w:szCs w:val="22"/>
        </w:rPr>
        <w:t>Gambie</w:t>
      </w:r>
      <w:proofErr w:type="spellEnd"/>
      <w:r w:rsidRPr="006F1472">
        <w:rPr>
          <w:rFonts w:asciiTheme="minorHAnsi" w:hAnsiTheme="minorHAnsi"/>
          <w:szCs w:val="22"/>
        </w:rPr>
        <w:t xml:space="preserve">). </w:t>
      </w:r>
      <w:hyperlink r:id="rId17" w:history="1">
        <w:r w:rsidRPr="006F1472">
          <w:rPr>
            <w:rStyle w:val="Hipervnculo"/>
            <w:rFonts w:asciiTheme="minorHAnsi" w:hAnsiTheme="minorHAnsi"/>
            <w:szCs w:val="22"/>
          </w:rPr>
          <w:t>https://au.int/sites/default/files/treaties/7789-treaty-0033_-_african_youth_charter_f.pdf</w:t>
        </w:r>
      </w:hyperlink>
    </w:p>
    <w:p w14:paraId="63345E99" w14:textId="7085451C" w:rsidR="00565591" w:rsidRPr="006F1472" w:rsidRDefault="00565591" w:rsidP="00565591">
      <w:pPr>
        <w:ind w:left="709" w:hanging="709"/>
        <w:contextualSpacing/>
        <w:rPr>
          <w:rStyle w:val="Hipervnculo"/>
          <w:rFonts w:asciiTheme="minorHAnsi" w:hAnsiTheme="minorHAnsi"/>
          <w:szCs w:val="22"/>
          <w:lang w:val="en-US"/>
        </w:rPr>
      </w:pPr>
      <w:proofErr w:type="spellStart"/>
      <w:r w:rsidRPr="006F1472">
        <w:rPr>
          <w:rFonts w:asciiTheme="minorHAnsi" w:hAnsiTheme="minorHAnsi"/>
          <w:szCs w:val="22"/>
          <w:lang w:val="en-US"/>
        </w:rPr>
        <w:t>Allahyari</w:t>
      </w:r>
      <w:proofErr w:type="spellEnd"/>
      <w:r w:rsidRPr="006F1472">
        <w:rPr>
          <w:rFonts w:asciiTheme="minorHAnsi" w:hAnsiTheme="minorHAnsi"/>
          <w:szCs w:val="22"/>
          <w:lang w:val="en-US"/>
        </w:rPr>
        <w:t xml:space="preserve">, E., Jafari, P. y Bagheri, Z. (2016). </w:t>
      </w:r>
      <w:r w:rsidRPr="006F1472">
        <w:rPr>
          <w:rFonts w:asciiTheme="minorHAnsi" w:hAnsiTheme="minorHAnsi"/>
          <w:i/>
          <w:szCs w:val="22"/>
          <w:lang w:val="en-US"/>
        </w:rPr>
        <w:t>A simulation study to assess the effect of the number of response categories on the power of ordinal logistic regression for differential item functioning analysis in rating scales</w:t>
      </w:r>
      <w:r w:rsidRPr="006F1472">
        <w:rPr>
          <w:rFonts w:asciiTheme="minorHAnsi" w:hAnsiTheme="minorHAnsi"/>
          <w:szCs w:val="22"/>
          <w:lang w:val="en-US"/>
        </w:rPr>
        <w:t xml:space="preserve">. Computational and Mathematical Methods in Medicine. </w:t>
      </w:r>
    </w:p>
    <w:p w14:paraId="6B1E10EF" w14:textId="43B93DD4" w:rsidR="00565591" w:rsidRPr="006F1472" w:rsidRDefault="00565591" w:rsidP="00565591">
      <w:pPr>
        <w:ind w:left="709" w:hanging="709"/>
        <w:contextualSpacing/>
        <w:rPr>
          <w:rFonts w:asciiTheme="minorHAnsi" w:hAnsiTheme="minorHAnsi"/>
          <w:szCs w:val="22"/>
          <w:lang w:val="en-US"/>
        </w:rPr>
      </w:pPr>
      <w:r w:rsidRPr="006F1472">
        <w:rPr>
          <w:rFonts w:asciiTheme="minorHAnsi" w:hAnsiTheme="minorHAnsi"/>
          <w:szCs w:val="22"/>
          <w:lang w:val="en-US"/>
        </w:rPr>
        <w:lastRenderedPageBreak/>
        <w:t xml:space="preserve">Allen, A., Howard, J., Kondo, M., Jamison, A., Jayne, T., Snyder, J. y </w:t>
      </w:r>
      <w:proofErr w:type="spellStart"/>
      <w:r w:rsidRPr="006F1472">
        <w:rPr>
          <w:rFonts w:asciiTheme="minorHAnsi" w:hAnsiTheme="minorHAnsi"/>
          <w:szCs w:val="22"/>
          <w:lang w:val="en-US"/>
        </w:rPr>
        <w:t>Tschirley</w:t>
      </w:r>
      <w:proofErr w:type="spellEnd"/>
      <w:r w:rsidRPr="006F1472">
        <w:rPr>
          <w:rFonts w:asciiTheme="minorHAnsi" w:hAnsiTheme="minorHAnsi"/>
          <w:szCs w:val="22"/>
          <w:lang w:val="en-US"/>
        </w:rPr>
        <w:t>, D. (2016).</w:t>
      </w:r>
      <w:r w:rsidRPr="006F1472">
        <w:rPr>
          <w:rFonts w:asciiTheme="minorHAnsi" w:hAnsiTheme="minorHAnsi"/>
          <w:i/>
          <w:szCs w:val="22"/>
          <w:lang w:val="en-US"/>
        </w:rPr>
        <w:t xml:space="preserve"> </w:t>
      </w:r>
      <w:proofErr w:type="spellStart"/>
      <w:r w:rsidRPr="006F1472">
        <w:rPr>
          <w:rFonts w:asciiTheme="minorHAnsi" w:hAnsiTheme="minorHAnsi"/>
          <w:i/>
          <w:szCs w:val="22"/>
          <w:lang w:val="en-US"/>
        </w:rPr>
        <w:t>Agrifood</w:t>
      </w:r>
      <w:proofErr w:type="spellEnd"/>
      <w:r w:rsidRPr="006F1472">
        <w:rPr>
          <w:rFonts w:asciiTheme="minorHAnsi" w:hAnsiTheme="minorHAnsi"/>
          <w:i/>
          <w:szCs w:val="22"/>
          <w:lang w:val="en-US"/>
        </w:rPr>
        <w:t xml:space="preserve"> Youth Employment and Engagement Study</w:t>
      </w:r>
      <w:r w:rsidRPr="006F1472">
        <w:rPr>
          <w:rFonts w:asciiTheme="minorHAnsi" w:hAnsiTheme="minorHAnsi"/>
          <w:szCs w:val="22"/>
          <w:lang w:val="en-US"/>
        </w:rPr>
        <w:t>. Michigan State University.</w:t>
      </w:r>
      <w:hyperlink r:id="rId18" w:history="1">
        <w:r w:rsidRPr="006F1472">
          <w:rPr>
            <w:rStyle w:val="Hipervnculo"/>
            <w:rFonts w:asciiTheme="minorHAnsi" w:hAnsiTheme="minorHAnsi"/>
            <w:szCs w:val="22"/>
            <w:lang w:val="en-US"/>
          </w:rPr>
          <w:t xml:space="preserve"> https://www.isp.msu.edu/files/4814/7249/7008/AgYees_Report_FINAL_web.pdf</w:t>
        </w:r>
      </w:hyperlink>
      <w:r w:rsidRPr="006F1472">
        <w:rPr>
          <w:rFonts w:asciiTheme="minorHAnsi" w:hAnsiTheme="minorHAnsi"/>
          <w:szCs w:val="22"/>
          <w:lang w:val="en-US"/>
        </w:rPr>
        <w:t xml:space="preserve"> .</w:t>
      </w:r>
    </w:p>
    <w:p w14:paraId="7B7C9C9A" w14:textId="3485D531" w:rsidR="00565591" w:rsidRPr="006F1472" w:rsidRDefault="00565591" w:rsidP="00565591">
      <w:pPr>
        <w:ind w:left="709" w:hanging="709"/>
        <w:contextualSpacing/>
        <w:rPr>
          <w:rStyle w:val="Hipervnculo"/>
          <w:rFonts w:asciiTheme="minorHAnsi" w:hAnsiTheme="minorHAnsi"/>
          <w:szCs w:val="22"/>
        </w:rPr>
      </w:pPr>
      <w:r w:rsidRPr="006F1472">
        <w:rPr>
          <w:rFonts w:asciiTheme="minorHAnsi" w:hAnsiTheme="minorHAnsi"/>
          <w:szCs w:val="22"/>
          <w:lang w:val="en-US"/>
        </w:rPr>
        <w:t xml:space="preserve">AUC Y OCDE (2018). </w:t>
      </w:r>
      <w:r w:rsidRPr="006F1472">
        <w:rPr>
          <w:rFonts w:asciiTheme="minorHAnsi" w:hAnsiTheme="minorHAnsi"/>
          <w:i/>
          <w:szCs w:val="22"/>
          <w:lang w:val="en-US"/>
        </w:rPr>
        <w:t>Africa’s Development Dynamics 2018: Growth, Jobs and Inequalities</w:t>
      </w:r>
      <w:r w:rsidRPr="006F1472">
        <w:rPr>
          <w:rFonts w:asciiTheme="minorHAnsi" w:hAnsiTheme="minorHAnsi"/>
          <w:szCs w:val="22"/>
          <w:lang w:val="en-US"/>
        </w:rPr>
        <w:t xml:space="preserve">. Paris/AUC, Addis Ababa, African Union Commission and Organization for Economic Co-operation and Development. </w:t>
      </w:r>
      <w:hyperlink r:id="rId19" w:history="1">
        <w:r w:rsidRPr="006F1472">
          <w:rPr>
            <w:rStyle w:val="Hipervnculo"/>
            <w:rFonts w:asciiTheme="minorHAnsi" w:hAnsiTheme="minorHAnsi"/>
            <w:szCs w:val="22"/>
          </w:rPr>
          <w:t>https://doi.org/10.1787/9789264302501-en</w:t>
        </w:r>
      </w:hyperlink>
    </w:p>
    <w:p w14:paraId="7690C2D8" w14:textId="3E18E188" w:rsidR="00565591" w:rsidRPr="006F1472" w:rsidRDefault="00565591" w:rsidP="00565591">
      <w:pPr>
        <w:ind w:left="709" w:hanging="709"/>
        <w:contextualSpacing/>
        <w:rPr>
          <w:rStyle w:val="Hipervnculo"/>
          <w:rFonts w:asciiTheme="minorHAnsi" w:hAnsiTheme="minorHAnsi"/>
          <w:szCs w:val="22"/>
        </w:rPr>
      </w:pPr>
      <w:proofErr w:type="spellStart"/>
      <w:r w:rsidRPr="006F1472">
        <w:rPr>
          <w:rFonts w:asciiTheme="minorHAnsi" w:hAnsiTheme="minorHAnsi"/>
          <w:szCs w:val="22"/>
        </w:rPr>
        <w:t>Bahati</w:t>
      </w:r>
      <w:proofErr w:type="spellEnd"/>
      <w:r w:rsidRPr="006F1472">
        <w:rPr>
          <w:rFonts w:asciiTheme="minorHAnsi" w:hAnsiTheme="minorHAnsi"/>
          <w:szCs w:val="22"/>
        </w:rPr>
        <w:t xml:space="preserve"> </w:t>
      </w:r>
      <w:proofErr w:type="spellStart"/>
      <w:r w:rsidRPr="006F1472">
        <w:rPr>
          <w:rFonts w:asciiTheme="minorHAnsi" w:hAnsiTheme="minorHAnsi"/>
          <w:szCs w:val="22"/>
        </w:rPr>
        <w:t>Shamamba</w:t>
      </w:r>
      <w:proofErr w:type="spellEnd"/>
      <w:r w:rsidRPr="006F1472">
        <w:rPr>
          <w:rFonts w:asciiTheme="minorHAnsi" w:hAnsiTheme="minorHAnsi"/>
          <w:szCs w:val="22"/>
        </w:rPr>
        <w:t xml:space="preserve">, D. (2021). </w:t>
      </w:r>
      <w:proofErr w:type="spellStart"/>
      <w:r w:rsidRPr="006F1472">
        <w:rPr>
          <w:rFonts w:asciiTheme="minorHAnsi" w:hAnsiTheme="minorHAnsi"/>
          <w:i/>
          <w:szCs w:val="22"/>
        </w:rPr>
        <w:t>Enjeux</w:t>
      </w:r>
      <w:proofErr w:type="spellEnd"/>
      <w:r w:rsidRPr="006F1472">
        <w:rPr>
          <w:rFonts w:asciiTheme="minorHAnsi" w:hAnsiTheme="minorHAnsi"/>
          <w:i/>
          <w:szCs w:val="22"/>
        </w:rPr>
        <w:t xml:space="preserve"> </w:t>
      </w:r>
      <w:proofErr w:type="spellStart"/>
      <w:r w:rsidRPr="006F1472">
        <w:rPr>
          <w:rFonts w:asciiTheme="minorHAnsi" w:hAnsiTheme="minorHAnsi"/>
          <w:i/>
          <w:szCs w:val="22"/>
        </w:rPr>
        <w:t>fonciers</w:t>
      </w:r>
      <w:proofErr w:type="spellEnd"/>
      <w:r w:rsidRPr="006F1472">
        <w:rPr>
          <w:rFonts w:asciiTheme="minorHAnsi" w:hAnsiTheme="minorHAnsi"/>
          <w:i/>
          <w:szCs w:val="22"/>
        </w:rPr>
        <w:t xml:space="preserve"> et </w:t>
      </w:r>
      <w:proofErr w:type="spellStart"/>
      <w:r w:rsidRPr="006F1472">
        <w:rPr>
          <w:rFonts w:asciiTheme="minorHAnsi" w:hAnsiTheme="minorHAnsi"/>
          <w:i/>
          <w:szCs w:val="22"/>
        </w:rPr>
        <w:t>développement</w:t>
      </w:r>
      <w:proofErr w:type="spellEnd"/>
      <w:r w:rsidRPr="006F1472">
        <w:rPr>
          <w:rFonts w:asciiTheme="minorHAnsi" w:hAnsiTheme="minorHAnsi"/>
          <w:i/>
          <w:szCs w:val="22"/>
        </w:rPr>
        <w:t xml:space="preserve"> de </w:t>
      </w:r>
      <w:proofErr w:type="spellStart"/>
      <w:r w:rsidRPr="006F1472">
        <w:rPr>
          <w:rFonts w:asciiTheme="minorHAnsi" w:hAnsiTheme="minorHAnsi"/>
          <w:i/>
          <w:szCs w:val="22"/>
        </w:rPr>
        <w:t>l’agriculture</w:t>
      </w:r>
      <w:proofErr w:type="spellEnd"/>
      <w:r w:rsidRPr="006F1472">
        <w:rPr>
          <w:rFonts w:asciiTheme="minorHAnsi" w:hAnsiTheme="minorHAnsi"/>
          <w:i/>
          <w:szCs w:val="22"/>
        </w:rPr>
        <w:t xml:space="preserve"> </w:t>
      </w:r>
      <w:proofErr w:type="spellStart"/>
      <w:r w:rsidRPr="006F1472">
        <w:rPr>
          <w:rFonts w:asciiTheme="minorHAnsi" w:hAnsiTheme="minorHAnsi"/>
          <w:i/>
          <w:szCs w:val="22"/>
        </w:rPr>
        <w:t>familiale</w:t>
      </w:r>
      <w:proofErr w:type="spellEnd"/>
      <w:r w:rsidRPr="006F1472">
        <w:rPr>
          <w:rFonts w:asciiTheme="minorHAnsi" w:hAnsiTheme="minorHAnsi"/>
          <w:i/>
          <w:szCs w:val="22"/>
        </w:rPr>
        <w:t xml:space="preserve"> </w:t>
      </w:r>
      <w:proofErr w:type="spellStart"/>
      <w:r w:rsidRPr="006F1472">
        <w:rPr>
          <w:rFonts w:asciiTheme="minorHAnsi" w:hAnsiTheme="minorHAnsi"/>
          <w:i/>
          <w:szCs w:val="22"/>
        </w:rPr>
        <w:t>au</w:t>
      </w:r>
      <w:proofErr w:type="spellEnd"/>
      <w:r w:rsidRPr="006F1472">
        <w:rPr>
          <w:rFonts w:asciiTheme="minorHAnsi" w:hAnsiTheme="minorHAnsi"/>
          <w:i/>
          <w:szCs w:val="22"/>
        </w:rPr>
        <w:t xml:space="preserve"> Sud-Kivu</w:t>
      </w:r>
      <w:r w:rsidRPr="006F1472">
        <w:rPr>
          <w:rFonts w:asciiTheme="minorHAnsi" w:hAnsiTheme="minorHAnsi"/>
          <w:szCs w:val="22"/>
        </w:rPr>
        <w:t xml:space="preserve"> [</w:t>
      </w:r>
      <w:proofErr w:type="spellStart"/>
      <w:r w:rsidRPr="006F1472">
        <w:rPr>
          <w:rFonts w:asciiTheme="minorHAnsi" w:hAnsiTheme="minorHAnsi"/>
          <w:szCs w:val="22"/>
        </w:rPr>
        <w:t>Thèse</w:t>
      </w:r>
      <w:proofErr w:type="spellEnd"/>
      <w:r w:rsidRPr="006F1472">
        <w:rPr>
          <w:rFonts w:asciiTheme="minorHAnsi" w:hAnsiTheme="minorHAnsi"/>
          <w:szCs w:val="22"/>
        </w:rPr>
        <w:t xml:space="preserve"> de </w:t>
      </w:r>
      <w:proofErr w:type="spellStart"/>
      <w:r w:rsidRPr="006F1472">
        <w:rPr>
          <w:rFonts w:asciiTheme="minorHAnsi" w:hAnsiTheme="minorHAnsi"/>
          <w:szCs w:val="22"/>
        </w:rPr>
        <w:t>doctorat</w:t>
      </w:r>
      <w:proofErr w:type="spellEnd"/>
      <w:r w:rsidRPr="006F1472">
        <w:rPr>
          <w:rFonts w:asciiTheme="minorHAnsi" w:hAnsiTheme="minorHAnsi"/>
          <w:szCs w:val="22"/>
        </w:rPr>
        <w:t xml:space="preserve">, </w:t>
      </w:r>
      <w:proofErr w:type="spellStart"/>
      <w:r w:rsidRPr="006F1472">
        <w:rPr>
          <w:rFonts w:asciiTheme="minorHAnsi" w:hAnsiTheme="minorHAnsi"/>
          <w:szCs w:val="22"/>
        </w:rPr>
        <w:t>Université</w:t>
      </w:r>
      <w:proofErr w:type="spellEnd"/>
      <w:r w:rsidRPr="006F1472">
        <w:rPr>
          <w:rFonts w:asciiTheme="minorHAnsi" w:hAnsiTheme="minorHAnsi"/>
          <w:szCs w:val="22"/>
        </w:rPr>
        <w:t xml:space="preserve"> de </w:t>
      </w:r>
      <w:proofErr w:type="spellStart"/>
      <w:r w:rsidRPr="006F1472">
        <w:rPr>
          <w:rFonts w:asciiTheme="minorHAnsi" w:hAnsiTheme="minorHAnsi"/>
          <w:szCs w:val="22"/>
        </w:rPr>
        <w:t>Liège</w:t>
      </w:r>
      <w:proofErr w:type="spellEnd"/>
      <w:r w:rsidRPr="006F1472">
        <w:rPr>
          <w:rFonts w:asciiTheme="minorHAnsi" w:hAnsiTheme="minorHAnsi"/>
          <w:szCs w:val="22"/>
        </w:rPr>
        <w:t xml:space="preserve">]. </w:t>
      </w:r>
      <w:hyperlink r:id="rId20" w:history="1">
        <w:r w:rsidRPr="006F1472">
          <w:rPr>
            <w:rStyle w:val="Hipervnculo"/>
            <w:rFonts w:asciiTheme="minorHAnsi" w:hAnsiTheme="minorHAnsi"/>
            <w:szCs w:val="22"/>
          </w:rPr>
          <w:t>https://orbi.uliege.be/bitstream/2268/265837/1/Th%C3%A8se%20Bahati%20Shamamba%20Dieudonn%C3%A9.pdf</w:t>
        </w:r>
      </w:hyperlink>
    </w:p>
    <w:p w14:paraId="2A8FBEE6" w14:textId="77777777" w:rsidR="00565591" w:rsidRPr="006F1472" w:rsidRDefault="00565591" w:rsidP="00565591">
      <w:pPr>
        <w:ind w:left="709" w:hanging="709"/>
        <w:contextualSpacing/>
        <w:rPr>
          <w:rFonts w:asciiTheme="minorHAnsi" w:hAnsiTheme="minorHAnsi"/>
          <w:szCs w:val="22"/>
          <w:lang w:val="en-US"/>
        </w:rPr>
      </w:pPr>
      <w:proofErr w:type="spellStart"/>
      <w:r w:rsidRPr="006F1472">
        <w:rPr>
          <w:rFonts w:asciiTheme="minorHAnsi" w:hAnsiTheme="minorHAnsi"/>
          <w:szCs w:val="22"/>
          <w:lang w:val="en-US"/>
        </w:rPr>
        <w:t>Bertsekas</w:t>
      </w:r>
      <w:proofErr w:type="spellEnd"/>
      <w:r w:rsidRPr="006F1472">
        <w:rPr>
          <w:rFonts w:asciiTheme="minorHAnsi" w:hAnsiTheme="minorHAnsi"/>
          <w:szCs w:val="22"/>
          <w:lang w:val="en-US"/>
        </w:rPr>
        <w:t xml:space="preserve">, D. &amp; </w:t>
      </w:r>
      <w:proofErr w:type="spellStart"/>
      <w:r w:rsidRPr="006F1472">
        <w:rPr>
          <w:rFonts w:asciiTheme="minorHAnsi" w:hAnsiTheme="minorHAnsi"/>
          <w:szCs w:val="22"/>
          <w:lang w:val="en-US"/>
        </w:rPr>
        <w:t>Tsitsiklis</w:t>
      </w:r>
      <w:proofErr w:type="spellEnd"/>
      <w:r w:rsidRPr="006F1472">
        <w:rPr>
          <w:rFonts w:asciiTheme="minorHAnsi" w:hAnsiTheme="minorHAnsi"/>
          <w:szCs w:val="22"/>
          <w:lang w:val="en-US"/>
        </w:rPr>
        <w:t xml:space="preserve">, J. (2002). </w:t>
      </w:r>
      <w:r w:rsidRPr="006F1472">
        <w:rPr>
          <w:rFonts w:asciiTheme="minorHAnsi" w:hAnsiTheme="minorHAnsi"/>
          <w:i/>
          <w:szCs w:val="22"/>
          <w:lang w:val="en-US"/>
        </w:rPr>
        <w:t>Introduction to Probability.</w:t>
      </w:r>
      <w:r w:rsidRPr="006F1472">
        <w:rPr>
          <w:rFonts w:asciiTheme="minorHAnsi" w:hAnsiTheme="minorHAnsi"/>
          <w:szCs w:val="22"/>
          <w:lang w:val="en-US"/>
        </w:rPr>
        <w:t xml:space="preserve"> Athena Scientific, Belmont. </w:t>
      </w:r>
      <w:hyperlink r:id="rId21" w:history="1">
        <w:r w:rsidRPr="006F1472">
          <w:rPr>
            <w:rStyle w:val="Hipervnculo"/>
            <w:rFonts w:asciiTheme="minorHAnsi" w:hAnsiTheme="minorHAnsi"/>
            <w:szCs w:val="22"/>
            <w:lang w:val="en-US"/>
          </w:rPr>
          <w:t>https://ece307.cankaya.edu.tr/uploads/files/introduction%20to%20probability%20(bertsekas,%202nd,%202008).pdf</w:t>
        </w:r>
      </w:hyperlink>
    </w:p>
    <w:p w14:paraId="679B3CB8" w14:textId="77777777" w:rsidR="00565591" w:rsidRPr="006F1472" w:rsidRDefault="00565591" w:rsidP="00565591">
      <w:pPr>
        <w:ind w:left="709" w:hanging="709"/>
        <w:contextualSpacing/>
        <w:rPr>
          <w:rStyle w:val="Hipervnculo"/>
          <w:rFonts w:asciiTheme="minorHAnsi" w:hAnsiTheme="minorHAnsi"/>
          <w:szCs w:val="22"/>
          <w:lang w:val="en-US"/>
        </w:rPr>
      </w:pPr>
      <w:proofErr w:type="spellStart"/>
      <w:r w:rsidRPr="006F1472">
        <w:rPr>
          <w:rFonts w:asciiTheme="minorHAnsi" w:hAnsiTheme="minorHAnsi"/>
          <w:szCs w:val="22"/>
          <w:lang w:val="en-US"/>
        </w:rPr>
        <w:t>Bossenbroek</w:t>
      </w:r>
      <w:proofErr w:type="spellEnd"/>
      <w:r w:rsidRPr="006F1472">
        <w:rPr>
          <w:rFonts w:asciiTheme="minorHAnsi" w:hAnsiTheme="minorHAnsi"/>
          <w:szCs w:val="22"/>
          <w:lang w:val="en-US"/>
        </w:rPr>
        <w:t xml:space="preserve">, L., van der Ploeg, J.D., &amp; </w:t>
      </w:r>
      <w:proofErr w:type="spellStart"/>
      <w:r w:rsidRPr="006F1472">
        <w:rPr>
          <w:rFonts w:asciiTheme="minorHAnsi" w:hAnsiTheme="minorHAnsi"/>
          <w:szCs w:val="22"/>
          <w:lang w:val="en-US"/>
        </w:rPr>
        <w:t>Zwarteveen</w:t>
      </w:r>
      <w:proofErr w:type="spellEnd"/>
      <w:r w:rsidRPr="006F1472">
        <w:rPr>
          <w:rFonts w:asciiTheme="minorHAnsi" w:hAnsiTheme="minorHAnsi"/>
          <w:szCs w:val="22"/>
          <w:lang w:val="en-US"/>
        </w:rPr>
        <w:t xml:space="preserve">, M. (2015). Broken Dreams? Youth Experiences of Agrarian Change in Morocco’s </w:t>
      </w:r>
      <w:proofErr w:type="spellStart"/>
      <w:r w:rsidRPr="006F1472">
        <w:rPr>
          <w:rFonts w:asciiTheme="minorHAnsi" w:hAnsiTheme="minorHAnsi"/>
          <w:szCs w:val="22"/>
          <w:lang w:val="en-US"/>
        </w:rPr>
        <w:t>Saïss</w:t>
      </w:r>
      <w:proofErr w:type="spellEnd"/>
      <w:r w:rsidRPr="006F1472">
        <w:rPr>
          <w:rFonts w:asciiTheme="minorHAnsi" w:hAnsiTheme="minorHAnsi"/>
          <w:szCs w:val="22"/>
          <w:lang w:val="en-US"/>
        </w:rPr>
        <w:t xml:space="preserve"> Region.  </w:t>
      </w:r>
      <w:r w:rsidRPr="006F1472">
        <w:rPr>
          <w:rFonts w:asciiTheme="minorHAnsi" w:hAnsiTheme="minorHAnsi"/>
          <w:i/>
          <w:szCs w:val="22"/>
          <w:lang w:val="en-US"/>
        </w:rPr>
        <w:t>Cahiers Agricultures</w:t>
      </w:r>
      <w:r w:rsidRPr="006F1472">
        <w:rPr>
          <w:rFonts w:asciiTheme="minorHAnsi" w:hAnsiTheme="minorHAnsi"/>
          <w:szCs w:val="22"/>
          <w:lang w:val="en-US"/>
        </w:rPr>
        <w:t xml:space="preserve">, </w:t>
      </w:r>
      <w:r w:rsidRPr="006F1472">
        <w:rPr>
          <w:rFonts w:asciiTheme="minorHAnsi" w:hAnsiTheme="minorHAnsi"/>
          <w:i/>
          <w:szCs w:val="22"/>
          <w:lang w:val="en-US"/>
        </w:rPr>
        <w:t>24</w:t>
      </w:r>
      <w:r w:rsidRPr="006F1472">
        <w:rPr>
          <w:rFonts w:asciiTheme="minorHAnsi" w:hAnsiTheme="minorHAnsi"/>
          <w:szCs w:val="22"/>
          <w:lang w:val="en-US"/>
        </w:rPr>
        <w:t xml:space="preserve">(6), 342–348. </w:t>
      </w:r>
      <w:hyperlink r:id="rId22" w:history="1">
        <w:r w:rsidRPr="006F1472">
          <w:rPr>
            <w:rStyle w:val="Hipervnculo"/>
            <w:rFonts w:asciiTheme="minorHAnsi" w:hAnsiTheme="minorHAnsi"/>
            <w:szCs w:val="22"/>
            <w:lang w:val="en-US"/>
          </w:rPr>
          <w:t>https://doi.org/10.1684/agr.2015.0776</w:t>
        </w:r>
      </w:hyperlink>
      <w:r w:rsidRPr="006F1472">
        <w:rPr>
          <w:rStyle w:val="Hipervnculo"/>
          <w:rFonts w:asciiTheme="minorHAnsi" w:hAnsiTheme="minorHAnsi"/>
          <w:szCs w:val="22"/>
          <w:lang w:val="en-US"/>
        </w:rPr>
        <w:t>.</w:t>
      </w:r>
    </w:p>
    <w:p w14:paraId="49753D67" w14:textId="5B9103C8" w:rsidR="00565591" w:rsidRPr="006F1472" w:rsidRDefault="00565591" w:rsidP="00565591">
      <w:pPr>
        <w:ind w:left="709" w:hanging="709"/>
        <w:contextualSpacing/>
        <w:rPr>
          <w:rStyle w:val="Hipervnculo"/>
          <w:rFonts w:asciiTheme="minorHAnsi" w:hAnsiTheme="minorHAnsi"/>
          <w:szCs w:val="22"/>
          <w:lang w:val="en-US"/>
        </w:rPr>
      </w:pPr>
      <w:r w:rsidRPr="006F1472">
        <w:rPr>
          <w:rFonts w:asciiTheme="minorHAnsi" w:hAnsiTheme="minorHAnsi"/>
          <w:szCs w:val="22"/>
          <w:lang w:val="en-US"/>
        </w:rPr>
        <w:t xml:space="preserve">CIRAD (1994). </w:t>
      </w:r>
      <w:r w:rsidRPr="006F1472">
        <w:rPr>
          <w:rFonts w:asciiTheme="minorHAnsi" w:hAnsiTheme="minorHAnsi"/>
          <w:i/>
          <w:szCs w:val="22"/>
          <w:lang w:val="en-US"/>
        </w:rPr>
        <w:t xml:space="preserve">Le symposium </w:t>
      </w:r>
      <w:proofErr w:type="spellStart"/>
      <w:r w:rsidRPr="006F1472">
        <w:rPr>
          <w:rFonts w:asciiTheme="minorHAnsi" w:hAnsiTheme="minorHAnsi"/>
          <w:i/>
          <w:szCs w:val="22"/>
          <w:lang w:val="en-US"/>
        </w:rPr>
        <w:t>Recherches-système</w:t>
      </w:r>
      <w:proofErr w:type="spellEnd"/>
      <w:r w:rsidRPr="006F1472">
        <w:rPr>
          <w:rFonts w:asciiTheme="minorHAnsi" w:hAnsiTheme="minorHAnsi"/>
          <w:i/>
          <w:szCs w:val="22"/>
          <w:lang w:val="en-US"/>
        </w:rPr>
        <w:t xml:space="preserve"> </w:t>
      </w:r>
      <w:proofErr w:type="spellStart"/>
      <w:r w:rsidRPr="006F1472">
        <w:rPr>
          <w:rFonts w:asciiTheme="minorHAnsi" w:hAnsiTheme="minorHAnsi"/>
          <w:i/>
          <w:szCs w:val="22"/>
          <w:lang w:val="en-US"/>
        </w:rPr>
        <w:t>en</w:t>
      </w:r>
      <w:proofErr w:type="spellEnd"/>
      <w:r w:rsidRPr="006F1472">
        <w:rPr>
          <w:rFonts w:asciiTheme="minorHAnsi" w:hAnsiTheme="minorHAnsi"/>
          <w:i/>
          <w:szCs w:val="22"/>
          <w:lang w:val="en-US"/>
        </w:rPr>
        <w:t xml:space="preserve"> agriculture et </w:t>
      </w:r>
      <w:proofErr w:type="spellStart"/>
      <w:r w:rsidRPr="006F1472">
        <w:rPr>
          <w:rFonts w:asciiTheme="minorHAnsi" w:hAnsiTheme="minorHAnsi"/>
          <w:i/>
          <w:szCs w:val="22"/>
          <w:lang w:val="en-US"/>
        </w:rPr>
        <w:t>développement</w:t>
      </w:r>
      <w:proofErr w:type="spellEnd"/>
      <w:r w:rsidRPr="006F1472">
        <w:rPr>
          <w:rFonts w:asciiTheme="minorHAnsi" w:hAnsiTheme="minorHAnsi"/>
          <w:i/>
          <w:szCs w:val="22"/>
          <w:lang w:val="en-US"/>
        </w:rPr>
        <w:t xml:space="preserve"> rural</w:t>
      </w:r>
      <w:r w:rsidRPr="006F1472">
        <w:rPr>
          <w:rFonts w:asciiTheme="minorHAnsi" w:hAnsiTheme="minorHAnsi"/>
          <w:szCs w:val="22"/>
          <w:lang w:val="en-US"/>
        </w:rPr>
        <w:t xml:space="preserve">. Service des </w:t>
      </w:r>
      <w:proofErr w:type="spellStart"/>
      <w:r w:rsidRPr="006F1472">
        <w:rPr>
          <w:rFonts w:asciiTheme="minorHAnsi" w:hAnsiTheme="minorHAnsi"/>
          <w:szCs w:val="22"/>
          <w:lang w:val="en-US"/>
        </w:rPr>
        <w:t>éditions</w:t>
      </w:r>
      <w:proofErr w:type="spellEnd"/>
      <w:r w:rsidRPr="006F1472">
        <w:rPr>
          <w:rFonts w:asciiTheme="minorHAnsi" w:hAnsiTheme="minorHAnsi"/>
          <w:szCs w:val="22"/>
          <w:lang w:val="en-US"/>
        </w:rPr>
        <w:t xml:space="preserve">. </w:t>
      </w:r>
      <w:hyperlink r:id="rId23" w:history="1">
        <w:r w:rsidRPr="006F1472">
          <w:rPr>
            <w:rStyle w:val="Hipervnculo"/>
            <w:rFonts w:asciiTheme="minorHAnsi" w:hAnsiTheme="minorHAnsi"/>
            <w:szCs w:val="22"/>
            <w:lang w:val="en-US"/>
          </w:rPr>
          <w:t>https://horizon.documentation.ird.fr/exl-doc/pleins_textes/divers17-09/010009947.pdf</w:t>
        </w:r>
      </w:hyperlink>
    </w:p>
    <w:p w14:paraId="31C17B1A" w14:textId="77777777" w:rsidR="00565591" w:rsidRPr="006F1472" w:rsidRDefault="00565591" w:rsidP="00565591">
      <w:pPr>
        <w:ind w:left="709" w:hanging="709"/>
        <w:contextualSpacing/>
        <w:rPr>
          <w:rFonts w:asciiTheme="minorHAnsi" w:hAnsiTheme="minorHAnsi"/>
          <w:szCs w:val="22"/>
        </w:rPr>
      </w:pPr>
      <w:r w:rsidRPr="006F1472">
        <w:rPr>
          <w:rFonts w:asciiTheme="minorHAnsi" w:hAnsiTheme="minorHAnsi"/>
          <w:szCs w:val="22"/>
          <w:lang w:val="en-US"/>
        </w:rPr>
        <w:t xml:space="preserve">CTA, FAO Y FIDA. (2014). </w:t>
      </w:r>
      <w:r w:rsidRPr="006F1472">
        <w:rPr>
          <w:rFonts w:asciiTheme="minorHAnsi" w:hAnsiTheme="minorHAnsi"/>
          <w:i/>
          <w:szCs w:val="22"/>
          <w:lang w:val="en-US"/>
        </w:rPr>
        <w:t>Youth and agriculture: Key challenges and concrete solutions</w:t>
      </w:r>
      <w:r w:rsidRPr="006F1472">
        <w:rPr>
          <w:rFonts w:asciiTheme="minorHAnsi" w:hAnsiTheme="minorHAnsi"/>
          <w:szCs w:val="22"/>
          <w:lang w:val="en-US"/>
        </w:rPr>
        <w:t xml:space="preserve">. </w:t>
      </w:r>
      <w:r w:rsidRPr="006F1472">
        <w:rPr>
          <w:rFonts w:asciiTheme="minorHAnsi" w:hAnsiTheme="minorHAnsi"/>
          <w:szCs w:val="22"/>
        </w:rPr>
        <w:t xml:space="preserve">CTA, FAO, IFAD. </w:t>
      </w:r>
      <w:r w:rsidRPr="006F1472">
        <w:rPr>
          <w:rFonts w:asciiTheme="minorHAnsi" w:hAnsiTheme="minorHAnsi"/>
          <w:color w:val="231F20"/>
          <w:szCs w:val="22"/>
        </w:rPr>
        <w:t>t</w:t>
      </w:r>
      <w:r w:rsidRPr="006F1472">
        <w:rPr>
          <w:rFonts w:asciiTheme="minorHAnsi" w:hAnsiTheme="minorHAnsi"/>
          <w:szCs w:val="22"/>
        </w:rPr>
        <w:t xml:space="preserve"> </w:t>
      </w:r>
      <w:hyperlink r:id="rId24" w:history="1">
        <w:r w:rsidRPr="006F1472">
          <w:rPr>
            <w:rStyle w:val="Hipervnculo"/>
            <w:rFonts w:asciiTheme="minorHAnsi" w:hAnsiTheme="minorHAnsi"/>
            <w:szCs w:val="22"/>
            <w:shd w:val="clear" w:color="auto" w:fill="FFFFFF"/>
          </w:rPr>
          <w:t>http://www.fao.org/3/a-i3947e.pdf</w:t>
        </w:r>
      </w:hyperlink>
      <w:r w:rsidRPr="006F1472">
        <w:rPr>
          <w:rFonts w:asciiTheme="minorHAnsi" w:hAnsiTheme="minorHAnsi"/>
          <w:szCs w:val="22"/>
        </w:rPr>
        <w:t xml:space="preserve"> </w:t>
      </w:r>
    </w:p>
    <w:p w14:paraId="669C5063" w14:textId="77777777" w:rsidR="00565591" w:rsidRPr="006F1472" w:rsidRDefault="00565591" w:rsidP="00565591">
      <w:pPr>
        <w:ind w:left="709" w:hanging="709"/>
        <w:contextualSpacing/>
        <w:rPr>
          <w:rFonts w:asciiTheme="minorHAnsi" w:hAnsiTheme="minorHAnsi"/>
          <w:color w:val="231F20"/>
          <w:szCs w:val="22"/>
          <w:lang w:val="en-US"/>
        </w:rPr>
      </w:pPr>
      <w:r w:rsidRPr="006F1472">
        <w:rPr>
          <w:rFonts w:asciiTheme="minorHAnsi" w:hAnsiTheme="minorHAnsi"/>
          <w:color w:val="231F20"/>
          <w:szCs w:val="22"/>
          <w:lang w:val="en-US"/>
        </w:rPr>
        <w:t xml:space="preserve">Davis, J. H. (1955). Business responsibility and the market for farm products. In </w:t>
      </w:r>
      <w:r w:rsidRPr="006F1472">
        <w:rPr>
          <w:rFonts w:asciiTheme="minorHAnsi" w:hAnsiTheme="minorHAnsi"/>
          <w:i/>
          <w:color w:val="231F20"/>
          <w:szCs w:val="22"/>
          <w:lang w:val="en-US"/>
        </w:rPr>
        <w:t>Boston Conference on Distribution</w:t>
      </w:r>
      <w:r w:rsidRPr="006F1472">
        <w:rPr>
          <w:rFonts w:asciiTheme="minorHAnsi" w:hAnsiTheme="minorHAnsi"/>
          <w:color w:val="231F20"/>
          <w:szCs w:val="22"/>
          <w:lang w:val="en-US"/>
        </w:rPr>
        <w:t>. JDP, NAL.</w:t>
      </w:r>
    </w:p>
    <w:p w14:paraId="15C4CBCC" w14:textId="77777777" w:rsidR="00565591" w:rsidRPr="006F1472" w:rsidRDefault="00565591" w:rsidP="00565591">
      <w:pPr>
        <w:ind w:left="709" w:hanging="709"/>
        <w:contextualSpacing/>
        <w:rPr>
          <w:rStyle w:val="Hipervnculo"/>
          <w:rFonts w:asciiTheme="minorHAnsi" w:hAnsiTheme="minorHAnsi"/>
          <w:szCs w:val="22"/>
          <w:lang w:val="en-US"/>
        </w:rPr>
      </w:pPr>
      <w:proofErr w:type="spellStart"/>
      <w:r w:rsidRPr="006F1472">
        <w:rPr>
          <w:rFonts w:asciiTheme="minorHAnsi" w:hAnsiTheme="minorHAnsi"/>
          <w:szCs w:val="22"/>
          <w:lang w:val="en-US"/>
        </w:rPr>
        <w:t>Donnadieu</w:t>
      </w:r>
      <w:proofErr w:type="spellEnd"/>
      <w:r w:rsidRPr="006F1472">
        <w:rPr>
          <w:rFonts w:asciiTheme="minorHAnsi" w:hAnsiTheme="minorHAnsi"/>
          <w:szCs w:val="22"/>
          <w:lang w:val="en-US"/>
        </w:rPr>
        <w:t xml:space="preserve">, G. &amp; </w:t>
      </w:r>
      <w:proofErr w:type="spellStart"/>
      <w:r w:rsidRPr="006F1472">
        <w:rPr>
          <w:rFonts w:asciiTheme="minorHAnsi" w:hAnsiTheme="minorHAnsi"/>
          <w:szCs w:val="22"/>
          <w:lang w:val="en-US"/>
        </w:rPr>
        <w:t>Karsky</w:t>
      </w:r>
      <w:proofErr w:type="spellEnd"/>
      <w:r w:rsidRPr="006F1472">
        <w:rPr>
          <w:rFonts w:asciiTheme="minorHAnsi" w:hAnsiTheme="minorHAnsi"/>
          <w:szCs w:val="22"/>
          <w:lang w:val="en-US"/>
        </w:rPr>
        <w:t xml:space="preserve">, M. (2002). </w:t>
      </w:r>
      <w:r w:rsidRPr="006F1472">
        <w:rPr>
          <w:rFonts w:asciiTheme="minorHAnsi" w:hAnsiTheme="minorHAnsi"/>
          <w:i/>
          <w:szCs w:val="22"/>
        </w:rPr>
        <w:t xml:space="preserve">La </w:t>
      </w:r>
      <w:proofErr w:type="spellStart"/>
      <w:r w:rsidRPr="006F1472">
        <w:rPr>
          <w:rFonts w:asciiTheme="minorHAnsi" w:hAnsiTheme="minorHAnsi"/>
          <w:i/>
          <w:szCs w:val="22"/>
        </w:rPr>
        <w:t>systémique</w:t>
      </w:r>
      <w:proofErr w:type="spellEnd"/>
      <w:r w:rsidRPr="006F1472">
        <w:rPr>
          <w:rFonts w:asciiTheme="minorHAnsi" w:hAnsiTheme="minorHAnsi"/>
          <w:i/>
          <w:szCs w:val="22"/>
        </w:rPr>
        <w:t xml:space="preserve">: </w:t>
      </w:r>
      <w:proofErr w:type="spellStart"/>
      <w:r w:rsidRPr="006F1472">
        <w:rPr>
          <w:rFonts w:asciiTheme="minorHAnsi" w:hAnsiTheme="minorHAnsi"/>
          <w:i/>
          <w:szCs w:val="22"/>
        </w:rPr>
        <w:t>penser</w:t>
      </w:r>
      <w:proofErr w:type="spellEnd"/>
      <w:r w:rsidRPr="006F1472">
        <w:rPr>
          <w:rFonts w:asciiTheme="minorHAnsi" w:hAnsiTheme="minorHAnsi"/>
          <w:i/>
          <w:szCs w:val="22"/>
        </w:rPr>
        <w:t xml:space="preserve"> et </w:t>
      </w:r>
      <w:proofErr w:type="spellStart"/>
      <w:r w:rsidRPr="006F1472">
        <w:rPr>
          <w:rFonts w:asciiTheme="minorHAnsi" w:hAnsiTheme="minorHAnsi"/>
          <w:i/>
          <w:szCs w:val="22"/>
        </w:rPr>
        <w:t>agir</w:t>
      </w:r>
      <w:proofErr w:type="spellEnd"/>
      <w:r w:rsidRPr="006F1472">
        <w:rPr>
          <w:rFonts w:asciiTheme="minorHAnsi" w:hAnsiTheme="minorHAnsi"/>
          <w:i/>
          <w:szCs w:val="22"/>
        </w:rPr>
        <w:t xml:space="preserve"> </w:t>
      </w:r>
      <w:proofErr w:type="spellStart"/>
      <w:r w:rsidRPr="006F1472">
        <w:rPr>
          <w:rFonts w:asciiTheme="minorHAnsi" w:hAnsiTheme="minorHAnsi"/>
          <w:i/>
          <w:szCs w:val="22"/>
        </w:rPr>
        <w:t>dans</w:t>
      </w:r>
      <w:proofErr w:type="spellEnd"/>
      <w:r w:rsidRPr="006F1472">
        <w:rPr>
          <w:rFonts w:asciiTheme="minorHAnsi" w:hAnsiTheme="minorHAnsi"/>
          <w:i/>
          <w:szCs w:val="22"/>
        </w:rPr>
        <w:t xml:space="preserve"> la </w:t>
      </w:r>
      <w:proofErr w:type="spellStart"/>
      <w:r w:rsidRPr="006F1472">
        <w:rPr>
          <w:rFonts w:asciiTheme="minorHAnsi" w:hAnsiTheme="minorHAnsi"/>
          <w:i/>
          <w:szCs w:val="22"/>
        </w:rPr>
        <w:t>complexité</w:t>
      </w:r>
      <w:proofErr w:type="spellEnd"/>
      <w:r w:rsidRPr="006F1472">
        <w:rPr>
          <w:rFonts w:asciiTheme="minorHAnsi" w:hAnsiTheme="minorHAnsi"/>
          <w:szCs w:val="22"/>
        </w:rPr>
        <w:t xml:space="preserve">. </w:t>
      </w:r>
      <w:r w:rsidRPr="006F1472">
        <w:rPr>
          <w:rFonts w:asciiTheme="minorHAnsi" w:hAnsiTheme="minorHAnsi"/>
          <w:szCs w:val="22"/>
          <w:lang w:val="en-US"/>
        </w:rPr>
        <w:t xml:space="preserve">Liaisons. </w:t>
      </w:r>
    </w:p>
    <w:p w14:paraId="39CAFED1" w14:textId="77777777" w:rsidR="00565591" w:rsidRPr="006F1472" w:rsidRDefault="00565591" w:rsidP="00565591">
      <w:pPr>
        <w:ind w:left="709" w:hanging="709"/>
        <w:contextualSpacing/>
        <w:rPr>
          <w:rStyle w:val="Hipervnculo"/>
          <w:rFonts w:asciiTheme="minorHAnsi" w:hAnsiTheme="minorHAnsi"/>
          <w:szCs w:val="22"/>
          <w:lang w:val="en-US"/>
        </w:rPr>
      </w:pPr>
      <w:proofErr w:type="spellStart"/>
      <w:r w:rsidRPr="006F1472">
        <w:rPr>
          <w:rFonts w:asciiTheme="minorHAnsi" w:hAnsiTheme="minorHAnsi"/>
          <w:szCs w:val="22"/>
          <w:lang w:val="en-US"/>
        </w:rPr>
        <w:t>Donnadieu</w:t>
      </w:r>
      <w:proofErr w:type="spellEnd"/>
      <w:r w:rsidRPr="006F1472">
        <w:rPr>
          <w:rFonts w:asciiTheme="minorHAnsi" w:hAnsiTheme="minorHAnsi"/>
          <w:szCs w:val="22"/>
          <w:lang w:val="en-US"/>
        </w:rPr>
        <w:t>, G., Durand, D., Neel, D., Nunez, E. &amp; Saint-Paul, L. (2003).</w:t>
      </w:r>
      <w:r w:rsidRPr="006F1472">
        <w:rPr>
          <w:rFonts w:asciiTheme="minorHAnsi" w:hAnsiTheme="minorHAnsi"/>
          <w:i/>
          <w:szCs w:val="22"/>
          <w:lang w:val="en-US"/>
        </w:rPr>
        <w:t xml:space="preserve"> </w:t>
      </w:r>
      <w:proofErr w:type="spellStart"/>
      <w:r w:rsidRPr="006F1472">
        <w:rPr>
          <w:rFonts w:asciiTheme="minorHAnsi" w:hAnsiTheme="minorHAnsi"/>
          <w:i/>
          <w:szCs w:val="22"/>
          <w:lang w:val="en-US"/>
        </w:rPr>
        <w:t>L'Approche</w:t>
      </w:r>
      <w:proofErr w:type="spellEnd"/>
      <w:r w:rsidRPr="006F1472">
        <w:rPr>
          <w:rFonts w:asciiTheme="minorHAnsi" w:hAnsiTheme="minorHAnsi"/>
          <w:i/>
          <w:szCs w:val="22"/>
          <w:lang w:val="en-US"/>
        </w:rPr>
        <w:t xml:space="preserve"> </w:t>
      </w:r>
      <w:proofErr w:type="spellStart"/>
      <w:r w:rsidRPr="006F1472">
        <w:rPr>
          <w:rFonts w:asciiTheme="minorHAnsi" w:hAnsiTheme="minorHAnsi"/>
          <w:i/>
          <w:szCs w:val="22"/>
          <w:lang w:val="en-US"/>
        </w:rPr>
        <w:t>systémique</w:t>
      </w:r>
      <w:proofErr w:type="spellEnd"/>
      <w:r w:rsidRPr="006F1472">
        <w:rPr>
          <w:rFonts w:asciiTheme="minorHAnsi" w:hAnsiTheme="minorHAnsi"/>
          <w:i/>
          <w:szCs w:val="22"/>
          <w:lang w:val="en-US"/>
        </w:rPr>
        <w:t xml:space="preserve">: de quoi </w:t>
      </w:r>
      <w:proofErr w:type="spellStart"/>
      <w:r w:rsidRPr="006F1472">
        <w:rPr>
          <w:rFonts w:asciiTheme="minorHAnsi" w:hAnsiTheme="minorHAnsi"/>
          <w:i/>
          <w:szCs w:val="22"/>
          <w:lang w:val="en-US"/>
        </w:rPr>
        <w:t>s'agit</w:t>
      </w:r>
      <w:proofErr w:type="spellEnd"/>
      <w:r w:rsidRPr="006F1472">
        <w:rPr>
          <w:rFonts w:asciiTheme="minorHAnsi" w:hAnsiTheme="minorHAnsi"/>
          <w:i/>
          <w:szCs w:val="22"/>
          <w:lang w:val="en-US"/>
        </w:rPr>
        <w:t xml:space="preserve">-il. </w:t>
      </w:r>
      <w:r w:rsidRPr="006F1472">
        <w:rPr>
          <w:rFonts w:asciiTheme="minorHAnsi" w:hAnsiTheme="minorHAnsi"/>
          <w:szCs w:val="22"/>
          <w:lang w:val="en-US"/>
        </w:rPr>
        <w:t xml:space="preserve">Union </w:t>
      </w:r>
      <w:proofErr w:type="spellStart"/>
      <w:r w:rsidRPr="006F1472">
        <w:rPr>
          <w:rFonts w:asciiTheme="minorHAnsi" w:hAnsiTheme="minorHAnsi"/>
          <w:szCs w:val="22"/>
          <w:lang w:val="en-US"/>
        </w:rPr>
        <w:t>Europeenne</w:t>
      </w:r>
      <w:proofErr w:type="spellEnd"/>
      <w:r w:rsidRPr="006F1472">
        <w:rPr>
          <w:rFonts w:asciiTheme="minorHAnsi" w:hAnsiTheme="minorHAnsi"/>
          <w:szCs w:val="22"/>
          <w:lang w:val="en-US"/>
        </w:rPr>
        <w:t xml:space="preserve"> de </w:t>
      </w:r>
      <w:proofErr w:type="spellStart"/>
      <w:r w:rsidRPr="006F1472">
        <w:rPr>
          <w:rFonts w:asciiTheme="minorHAnsi" w:hAnsiTheme="minorHAnsi"/>
          <w:szCs w:val="22"/>
          <w:lang w:val="en-US"/>
        </w:rPr>
        <w:t>Systemique</w:t>
      </w:r>
      <w:proofErr w:type="spellEnd"/>
      <w:r w:rsidRPr="006F1472">
        <w:rPr>
          <w:rFonts w:asciiTheme="minorHAnsi" w:hAnsiTheme="minorHAnsi"/>
          <w:i/>
          <w:szCs w:val="22"/>
          <w:lang w:val="en-US"/>
        </w:rPr>
        <w:t xml:space="preserve">. </w:t>
      </w:r>
      <w:hyperlink r:id="rId25" w:history="1">
        <w:r w:rsidRPr="006F1472">
          <w:rPr>
            <w:rStyle w:val="Hipervnculo"/>
            <w:rFonts w:asciiTheme="minorHAnsi" w:hAnsiTheme="minorHAnsi"/>
            <w:szCs w:val="22"/>
            <w:lang w:val="en-US"/>
          </w:rPr>
          <w:t>http://www.afscet.asso.fr/SystemicApproach.pdf</w:t>
        </w:r>
      </w:hyperlink>
    </w:p>
    <w:p w14:paraId="3B9E6A1F" w14:textId="0A72600A" w:rsidR="00565591" w:rsidRPr="006F1472" w:rsidRDefault="00565591" w:rsidP="00565591">
      <w:pPr>
        <w:ind w:left="709" w:hanging="709"/>
        <w:contextualSpacing/>
        <w:rPr>
          <w:rStyle w:val="Hipervnculo"/>
          <w:rFonts w:asciiTheme="minorHAnsi" w:hAnsiTheme="minorHAnsi"/>
          <w:szCs w:val="22"/>
          <w:lang w:val="en-US"/>
        </w:rPr>
      </w:pPr>
      <w:proofErr w:type="spellStart"/>
      <w:r w:rsidRPr="006F1472">
        <w:rPr>
          <w:rFonts w:asciiTheme="minorHAnsi" w:hAnsiTheme="minorHAnsi"/>
          <w:szCs w:val="22"/>
        </w:rPr>
        <w:t>Elloumi</w:t>
      </w:r>
      <w:proofErr w:type="spellEnd"/>
      <w:r w:rsidRPr="006F1472">
        <w:rPr>
          <w:rFonts w:asciiTheme="minorHAnsi" w:hAnsiTheme="minorHAnsi"/>
          <w:szCs w:val="22"/>
        </w:rPr>
        <w:t xml:space="preserve">, M. (1994). La </w:t>
      </w:r>
      <w:proofErr w:type="spellStart"/>
      <w:r w:rsidRPr="006F1472">
        <w:rPr>
          <w:rFonts w:asciiTheme="minorHAnsi" w:hAnsiTheme="minorHAnsi"/>
          <w:szCs w:val="22"/>
        </w:rPr>
        <w:t>vulgarisation</w:t>
      </w:r>
      <w:proofErr w:type="spellEnd"/>
      <w:r w:rsidRPr="006F1472">
        <w:rPr>
          <w:rFonts w:asciiTheme="minorHAnsi" w:hAnsiTheme="minorHAnsi"/>
          <w:szCs w:val="22"/>
        </w:rPr>
        <w:t xml:space="preserve">, </w:t>
      </w:r>
      <w:proofErr w:type="spellStart"/>
      <w:r w:rsidRPr="006F1472">
        <w:rPr>
          <w:rFonts w:asciiTheme="minorHAnsi" w:hAnsiTheme="minorHAnsi"/>
          <w:szCs w:val="22"/>
        </w:rPr>
        <w:t>composante</w:t>
      </w:r>
      <w:proofErr w:type="spellEnd"/>
      <w:r w:rsidRPr="006F1472">
        <w:rPr>
          <w:rFonts w:asciiTheme="minorHAnsi" w:hAnsiTheme="minorHAnsi"/>
          <w:szCs w:val="22"/>
        </w:rPr>
        <w:t xml:space="preserve"> du </w:t>
      </w:r>
      <w:proofErr w:type="spellStart"/>
      <w:r w:rsidRPr="006F1472">
        <w:rPr>
          <w:rFonts w:asciiTheme="minorHAnsi" w:hAnsiTheme="minorHAnsi"/>
          <w:szCs w:val="22"/>
        </w:rPr>
        <w:t>développement</w:t>
      </w:r>
      <w:proofErr w:type="spellEnd"/>
      <w:r w:rsidRPr="006F1472">
        <w:rPr>
          <w:rFonts w:asciiTheme="minorHAnsi" w:hAnsiTheme="minorHAnsi"/>
          <w:szCs w:val="22"/>
        </w:rPr>
        <w:t xml:space="preserve"> </w:t>
      </w:r>
      <w:proofErr w:type="spellStart"/>
      <w:r w:rsidRPr="006F1472">
        <w:rPr>
          <w:rFonts w:asciiTheme="minorHAnsi" w:hAnsiTheme="minorHAnsi"/>
          <w:szCs w:val="22"/>
        </w:rPr>
        <w:t>agricole</w:t>
      </w:r>
      <w:proofErr w:type="spellEnd"/>
      <w:r w:rsidRPr="006F1472">
        <w:rPr>
          <w:rFonts w:asciiTheme="minorHAnsi" w:hAnsiTheme="minorHAnsi"/>
          <w:szCs w:val="22"/>
        </w:rPr>
        <w:t xml:space="preserve"> et rural: </w:t>
      </w:r>
      <w:proofErr w:type="spellStart"/>
      <w:r w:rsidRPr="006F1472">
        <w:rPr>
          <w:rFonts w:asciiTheme="minorHAnsi" w:hAnsiTheme="minorHAnsi"/>
          <w:szCs w:val="22"/>
        </w:rPr>
        <w:t>actes</w:t>
      </w:r>
      <w:proofErr w:type="spellEnd"/>
      <w:r w:rsidRPr="006F1472">
        <w:rPr>
          <w:rFonts w:asciiTheme="minorHAnsi" w:hAnsiTheme="minorHAnsi"/>
          <w:szCs w:val="22"/>
        </w:rPr>
        <w:t xml:space="preserve"> du </w:t>
      </w:r>
      <w:proofErr w:type="spellStart"/>
      <w:r w:rsidRPr="006F1472">
        <w:rPr>
          <w:rFonts w:asciiTheme="minorHAnsi" w:hAnsiTheme="minorHAnsi"/>
          <w:szCs w:val="22"/>
        </w:rPr>
        <w:t>séminaire</w:t>
      </w:r>
      <w:proofErr w:type="spellEnd"/>
      <w:r w:rsidRPr="006F1472">
        <w:rPr>
          <w:rFonts w:asciiTheme="minorHAnsi" w:hAnsiTheme="minorHAnsi"/>
          <w:szCs w:val="22"/>
        </w:rPr>
        <w:t xml:space="preserve"> de </w:t>
      </w:r>
      <w:proofErr w:type="spellStart"/>
      <w:r w:rsidRPr="006F1472">
        <w:rPr>
          <w:rFonts w:asciiTheme="minorHAnsi" w:hAnsiTheme="minorHAnsi"/>
          <w:szCs w:val="22"/>
        </w:rPr>
        <w:t>Grenade</w:t>
      </w:r>
      <w:proofErr w:type="spellEnd"/>
      <w:r w:rsidRPr="006F1472">
        <w:rPr>
          <w:rFonts w:asciiTheme="minorHAnsi" w:hAnsiTheme="minorHAnsi"/>
          <w:szCs w:val="22"/>
        </w:rPr>
        <w:t xml:space="preserve">. </w:t>
      </w:r>
      <w:r w:rsidRPr="006F1472">
        <w:rPr>
          <w:rFonts w:asciiTheme="minorHAnsi" w:hAnsiTheme="minorHAnsi"/>
          <w:i/>
          <w:szCs w:val="22"/>
          <w:lang w:val="en-US"/>
        </w:rPr>
        <w:t xml:space="preserve">Cahiers Options </w:t>
      </w:r>
      <w:proofErr w:type="spellStart"/>
      <w:r w:rsidRPr="006F1472">
        <w:rPr>
          <w:rFonts w:asciiTheme="minorHAnsi" w:hAnsiTheme="minorHAnsi"/>
          <w:i/>
          <w:szCs w:val="22"/>
          <w:lang w:val="en-US"/>
        </w:rPr>
        <w:t>Méditerranéennes</w:t>
      </w:r>
      <w:proofErr w:type="spellEnd"/>
      <w:r w:rsidRPr="006F1472">
        <w:rPr>
          <w:rFonts w:asciiTheme="minorHAnsi" w:hAnsiTheme="minorHAnsi"/>
          <w:i/>
          <w:szCs w:val="22"/>
          <w:lang w:val="en-US"/>
        </w:rPr>
        <w:t>, 2(</w:t>
      </w:r>
      <w:r w:rsidRPr="006F1472">
        <w:rPr>
          <w:rFonts w:asciiTheme="minorHAnsi" w:hAnsiTheme="minorHAnsi"/>
          <w:szCs w:val="22"/>
          <w:lang w:val="en-US"/>
        </w:rPr>
        <w:t>4), 67-76</w:t>
      </w:r>
      <w:r w:rsidRPr="006F1472">
        <w:rPr>
          <w:rFonts w:asciiTheme="minorHAnsi" w:hAnsiTheme="minorHAnsi"/>
          <w:color w:val="666666"/>
          <w:szCs w:val="22"/>
          <w:lang w:val="en-US"/>
        </w:rPr>
        <w:t xml:space="preserve">. </w:t>
      </w:r>
      <w:hyperlink r:id="rId26" w:history="1">
        <w:r w:rsidRPr="006F1472">
          <w:rPr>
            <w:rStyle w:val="Hipervnculo"/>
            <w:rFonts w:asciiTheme="minorHAnsi" w:hAnsiTheme="minorHAnsi"/>
            <w:szCs w:val="22"/>
            <w:lang w:val="en-US"/>
          </w:rPr>
          <w:t>http://om.ciheam.org/article.php?IDPDF=94400045</w:t>
        </w:r>
      </w:hyperlink>
    </w:p>
    <w:p w14:paraId="475A0B11" w14:textId="77777777" w:rsidR="00565591" w:rsidRPr="006F1472" w:rsidRDefault="00565591" w:rsidP="00565591">
      <w:pPr>
        <w:ind w:left="709" w:hanging="709"/>
        <w:contextualSpacing/>
        <w:rPr>
          <w:rStyle w:val="Hipervnculo"/>
          <w:rFonts w:asciiTheme="minorHAnsi" w:hAnsiTheme="minorHAnsi"/>
          <w:szCs w:val="22"/>
        </w:rPr>
      </w:pPr>
      <w:r w:rsidRPr="006F1472">
        <w:rPr>
          <w:rFonts w:asciiTheme="minorHAnsi" w:hAnsiTheme="minorHAnsi"/>
          <w:szCs w:val="22"/>
        </w:rPr>
        <w:t xml:space="preserve">FAO (2020). </w:t>
      </w:r>
      <w:r w:rsidRPr="006F1472">
        <w:rPr>
          <w:rFonts w:asciiTheme="minorHAnsi" w:hAnsiTheme="minorHAnsi"/>
          <w:i/>
          <w:szCs w:val="22"/>
        </w:rPr>
        <w:t xml:space="preserve">La </w:t>
      </w:r>
      <w:proofErr w:type="spellStart"/>
      <w:r w:rsidRPr="006F1472">
        <w:rPr>
          <w:rFonts w:asciiTheme="minorHAnsi" w:hAnsiTheme="minorHAnsi"/>
          <w:i/>
          <w:szCs w:val="22"/>
        </w:rPr>
        <w:t>situation</w:t>
      </w:r>
      <w:proofErr w:type="spellEnd"/>
      <w:r w:rsidRPr="006F1472">
        <w:rPr>
          <w:rFonts w:asciiTheme="minorHAnsi" w:hAnsiTheme="minorHAnsi"/>
          <w:i/>
          <w:szCs w:val="22"/>
        </w:rPr>
        <w:t xml:space="preserve"> des </w:t>
      </w:r>
      <w:proofErr w:type="spellStart"/>
      <w:r w:rsidRPr="006F1472">
        <w:rPr>
          <w:rFonts w:asciiTheme="minorHAnsi" w:hAnsiTheme="minorHAnsi"/>
          <w:i/>
          <w:szCs w:val="22"/>
        </w:rPr>
        <w:t>marchés</w:t>
      </w:r>
      <w:proofErr w:type="spellEnd"/>
      <w:r w:rsidRPr="006F1472">
        <w:rPr>
          <w:rFonts w:asciiTheme="minorHAnsi" w:hAnsiTheme="minorHAnsi"/>
          <w:i/>
          <w:szCs w:val="22"/>
        </w:rPr>
        <w:t xml:space="preserve"> des </w:t>
      </w:r>
      <w:proofErr w:type="spellStart"/>
      <w:r w:rsidRPr="006F1472">
        <w:rPr>
          <w:rFonts w:asciiTheme="minorHAnsi" w:hAnsiTheme="minorHAnsi"/>
          <w:i/>
          <w:szCs w:val="22"/>
        </w:rPr>
        <w:t>produits</w:t>
      </w:r>
      <w:proofErr w:type="spellEnd"/>
      <w:r w:rsidRPr="006F1472">
        <w:rPr>
          <w:rFonts w:asciiTheme="minorHAnsi" w:hAnsiTheme="minorHAnsi"/>
          <w:i/>
          <w:szCs w:val="22"/>
        </w:rPr>
        <w:t xml:space="preserve"> </w:t>
      </w:r>
      <w:proofErr w:type="spellStart"/>
      <w:r w:rsidRPr="006F1472">
        <w:rPr>
          <w:rFonts w:asciiTheme="minorHAnsi" w:hAnsiTheme="minorHAnsi"/>
          <w:i/>
          <w:szCs w:val="22"/>
        </w:rPr>
        <w:t>agricoles</w:t>
      </w:r>
      <w:proofErr w:type="spellEnd"/>
      <w:r w:rsidRPr="006F1472">
        <w:rPr>
          <w:rFonts w:asciiTheme="minorHAnsi" w:hAnsiTheme="minorHAnsi"/>
          <w:i/>
          <w:szCs w:val="22"/>
        </w:rPr>
        <w:t xml:space="preserve"> 2020. </w:t>
      </w:r>
      <w:proofErr w:type="spellStart"/>
      <w:r w:rsidRPr="006F1472">
        <w:rPr>
          <w:rFonts w:asciiTheme="minorHAnsi" w:hAnsiTheme="minorHAnsi"/>
          <w:i/>
          <w:szCs w:val="22"/>
        </w:rPr>
        <w:t>Marchés</w:t>
      </w:r>
      <w:proofErr w:type="spellEnd"/>
      <w:r w:rsidRPr="006F1472">
        <w:rPr>
          <w:rFonts w:asciiTheme="minorHAnsi" w:hAnsiTheme="minorHAnsi"/>
          <w:i/>
          <w:szCs w:val="22"/>
        </w:rPr>
        <w:t xml:space="preserve"> </w:t>
      </w:r>
      <w:proofErr w:type="spellStart"/>
      <w:r w:rsidRPr="006F1472">
        <w:rPr>
          <w:rFonts w:asciiTheme="minorHAnsi" w:hAnsiTheme="minorHAnsi"/>
          <w:i/>
          <w:szCs w:val="22"/>
        </w:rPr>
        <w:t>agricoles</w:t>
      </w:r>
      <w:proofErr w:type="spellEnd"/>
      <w:r w:rsidRPr="006F1472">
        <w:rPr>
          <w:rFonts w:asciiTheme="minorHAnsi" w:hAnsiTheme="minorHAnsi"/>
          <w:i/>
          <w:szCs w:val="22"/>
        </w:rPr>
        <w:t xml:space="preserve"> et </w:t>
      </w:r>
      <w:proofErr w:type="spellStart"/>
      <w:r w:rsidRPr="006F1472">
        <w:rPr>
          <w:rFonts w:asciiTheme="minorHAnsi" w:hAnsiTheme="minorHAnsi"/>
          <w:i/>
          <w:szCs w:val="22"/>
        </w:rPr>
        <w:t>développement</w:t>
      </w:r>
      <w:proofErr w:type="spellEnd"/>
      <w:r w:rsidRPr="006F1472">
        <w:rPr>
          <w:rFonts w:asciiTheme="minorHAnsi" w:hAnsiTheme="minorHAnsi"/>
          <w:i/>
          <w:szCs w:val="22"/>
        </w:rPr>
        <w:t xml:space="preserve"> durable:</w:t>
      </w:r>
      <w:r w:rsidRPr="006F1472">
        <w:rPr>
          <w:rFonts w:asciiTheme="minorHAnsi" w:hAnsiTheme="minorHAnsi"/>
          <w:szCs w:val="22"/>
        </w:rPr>
        <w:t xml:space="preserve"> </w:t>
      </w:r>
      <w:proofErr w:type="spellStart"/>
      <w:r w:rsidRPr="006F1472">
        <w:rPr>
          <w:rFonts w:asciiTheme="minorHAnsi" w:hAnsiTheme="minorHAnsi"/>
          <w:i/>
          <w:szCs w:val="22"/>
        </w:rPr>
        <w:t>chaînes</w:t>
      </w:r>
      <w:proofErr w:type="spellEnd"/>
      <w:r w:rsidRPr="006F1472">
        <w:rPr>
          <w:rFonts w:asciiTheme="minorHAnsi" w:hAnsiTheme="minorHAnsi"/>
          <w:i/>
          <w:szCs w:val="22"/>
        </w:rPr>
        <w:t xml:space="preserve"> de </w:t>
      </w:r>
      <w:proofErr w:type="spellStart"/>
      <w:r w:rsidRPr="006F1472">
        <w:rPr>
          <w:rFonts w:asciiTheme="minorHAnsi" w:hAnsiTheme="minorHAnsi"/>
          <w:i/>
          <w:szCs w:val="22"/>
        </w:rPr>
        <w:t>valeur</w:t>
      </w:r>
      <w:proofErr w:type="spellEnd"/>
      <w:r w:rsidRPr="006F1472">
        <w:rPr>
          <w:rFonts w:asciiTheme="minorHAnsi" w:hAnsiTheme="minorHAnsi"/>
          <w:i/>
          <w:szCs w:val="22"/>
        </w:rPr>
        <w:t xml:space="preserve"> </w:t>
      </w:r>
      <w:proofErr w:type="spellStart"/>
      <w:r w:rsidRPr="006F1472">
        <w:rPr>
          <w:rFonts w:asciiTheme="minorHAnsi" w:hAnsiTheme="minorHAnsi"/>
          <w:i/>
          <w:szCs w:val="22"/>
        </w:rPr>
        <w:t>mondiales</w:t>
      </w:r>
      <w:proofErr w:type="spellEnd"/>
      <w:r w:rsidRPr="006F1472">
        <w:rPr>
          <w:rFonts w:asciiTheme="minorHAnsi" w:hAnsiTheme="minorHAnsi"/>
          <w:i/>
          <w:szCs w:val="22"/>
        </w:rPr>
        <w:t xml:space="preserve">, </w:t>
      </w:r>
      <w:proofErr w:type="spellStart"/>
      <w:r w:rsidRPr="006F1472">
        <w:rPr>
          <w:rFonts w:asciiTheme="minorHAnsi" w:hAnsiTheme="minorHAnsi"/>
          <w:i/>
          <w:szCs w:val="22"/>
        </w:rPr>
        <w:t>petits</w:t>
      </w:r>
      <w:proofErr w:type="spellEnd"/>
      <w:r w:rsidRPr="006F1472">
        <w:rPr>
          <w:rFonts w:asciiTheme="minorHAnsi" w:hAnsiTheme="minorHAnsi"/>
          <w:i/>
          <w:szCs w:val="22"/>
        </w:rPr>
        <w:t xml:space="preserve"> </w:t>
      </w:r>
      <w:proofErr w:type="spellStart"/>
      <w:r w:rsidRPr="006F1472">
        <w:rPr>
          <w:rFonts w:asciiTheme="minorHAnsi" w:hAnsiTheme="minorHAnsi"/>
          <w:i/>
          <w:szCs w:val="22"/>
        </w:rPr>
        <w:t>exploitants</w:t>
      </w:r>
      <w:proofErr w:type="spellEnd"/>
      <w:r w:rsidRPr="006F1472">
        <w:rPr>
          <w:rFonts w:asciiTheme="minorHAnsi" w:hAnsiTheme="minorHAnsi"/>
          <w:i/>
          <w:szCs w:val="22"/>
        </w:rPr>
        <w:t xml:space="preserve"> et </w:t>
      </w:r>
      <w:proofErr w:type="spellStart"/>
      <w:r w:rsidRPr="006F1472">
        <w:rPr>
          <w:rFonts w:asciiTheme="minorHAnsi" w:hAnsiTheme="minorHAnsi"/>
          <w:i/>
          <w:szCs w:val="22"/>
        </w:rPr>
        <w:t>innovations</w:t>
      </w:r>
      <w:proofErr w:type="spellEnd"/>
      <w:r w:rsidRPr="006F1472">
        <w:rPr>
          <w:rFonts w:asciiTheme="minorHAnsi" w:hAnsiTheme="minorHAnsi"/>
          <w:i/>
          <w:szCs w:val="22"/>
        </w:rPr>
        <w:t xml:space="preserve"> numériques. </w:t>
      </w:r>
      <w:r w:rsidRPr="006F1472">
        <w:rPr>
          <w:rFonts w:asciiTheme="minorHAnsi" w:hAnsiTheme="minorHAnsi"/>
          <w:szCs w:val="22"/>
        </w:rPr>
        <w:t xml:space="preserve">FAO. </w:t>
      </w:r>
      <w:hyperlink r:id="rId27" w:history="1">
        <w:r w:rsidRPr="006F1472">
          <w:rPr>
            <w:rStyle w:val="Hipervnculo"/>
            <w:rFonts w:asciiTheme="minorHAnsi" w:hAnsiTheme="minorHAnsi"/>
            <w:szCs w:val="22"/>
          </w:rPr>
          <w:t>https://doi.org/10.4060/cb0665fr</w:t>
        </w:r>
      </w:hyperlink>
      <w:r w:rsidRPr="006F1472">
        <w:rPr>
          <w:rStyle w:val="Hipervnculo"/>
          <w:rFonts w:asciiTheme="minorHAnsi" w:hAnsiTheme="minorHAnsi"/>
          <w:szCs w:val="22"/>
        </w:rPr>
        <w:t>.</w:t>
      </w:r>
    </w:p>
    <w:p w14:paraId="646762EA" w14:textId="77777777" w:rsidR="00565591" w:rsidRPr="006F1472" w:rsidRDefault="00565591" w:rsidP="00565591">
      <w:pPr>
        <w:ind w:left="709" w:hanging="709"/>
        <w:contextualSpacing/>
        <w:rPr>
          <w:rFonts w:asciiTheme="minorHAnsi" w:hAnsiTheme="minorHAnsi"/>
          <w:szCs w:val="22"/>
          <w:lang w:val="en-US"/>
        </w:rPr>
      </w:pPr>
      <w:proofErr w:type="spellStart"/>
      <w:r w:rsidRPr="006F1472">
        <w:rPr>
          <w:rFonts w:asciiTheme="minorHAnsi" w:hAnsiTheme="minorHAnsi"/>
          <w:szCs w:val="22"/>
        </w:rPr>
        <w:t>Ferraton</w:t>
      </w:r>
      <w:proofErr w:type="spellEnd"/>
      <w:r w:rsidRPr="006F1472">
        <w:rPr>
          <w:rFonts w:asciiTheme="minorHAnsi" w:hAnsiTheme="minorHAnsi"/>
          <w:szCs w:val="22"/>
        </w:rPr>
        <w:t xml:space="preserve">, N. et </w:t>
      </w:r>
      <w:proofErr w:type="spellStart"/>
      <w:r w:rsidRPr="006F1472">
        <w:rPr>
          <w:rFonts w:asciiTheme="minorHAnsi" w:hAnsiTheme="minorHAnsi"/>
          <w:szCs w:val="22"/>
        </w:rPr>
        <w:t>Touzard</w:t>
      </w:r>
      <w:proofErr w:type="spellEnd"/>
      <w:r w:rsidRPr="006F1472">
        <w:rPr>
          <w:rFonts w:asciiTheme="minorHAnsi" w:hAnsiTheme="minorHAnsi"/>
          <w:szCs w:val="22"/>
        </w:rPr>
        <w:t xml:space="preserve">, I. (2009). </w:t>
      </w:r>
      <w:proofErr w:type="spellStart"/>
      <w:r w:rsidRPr="006F1472">
        <w:rPr>
          <w:rFonts w:asciiTheme="minorHAnsi" w:hAnsiTheme="minorHAnsi"/>
          <w:i/>
          <w:szCs w:val="22"/>
        </w:rPr>
        <w:t>Comprendre</w:t>
      </w:r>
      <w:proofErr w:type="spellEnd"/>
      <w:r w:rsidRPr="006F1472">
        <w:rPr>
          <w:rFonts w:asciiTheme="minorHAnsi" w:hAnsiTheme="minorHAnsi"/>
          <w:i/>
          <w:szCs w:val="22"/>
        </w:rPr>
        <w:t xml:space="preserve"> </w:t>
      </w:r>
      <w:proofErr w:type="spellStart"/>
      <w:r w:rsidRPr="006F1472">
        <w:rPr>
          <w:rFonts w:asciiTheme="minorHAnsi" w:hAnsiTheme="minorHAnsi"/>
          <w:i/>
          <w:szCs w:val="22"/>
        </w:rPr>
        <w:t>l’agriculture</w:t>
      </w:r>
      <w:proofErr w:type="spellEnd"/>
      <w:r w:rsidRPr="006F1472">
        <w:rPr>
          <w:rFonts w:asciiTheme="minorHAnsi" w:hAnsiTheme="minorHAnsi"/>
          <w:i/>
          <w:szCs w:val="22"/>
        </w:rPr>
        <w:t xml:space="preserve"> </w:t>
      </w:r>
      <w:proofErr w:type="spellStart"/>
      <w:r w:rsidRPr="006F1472">
        <w:rPr>
          <w:rFonts w:asciiTheme="minorHAnsi" w:hAnsiTheme="minorHAnsi"/>
          <w:i/>
          <w:szCs w:val="22"/>
        </w:rPr>
        <w:t>familiale</w:t>
      </w:r>
      <w:proofErr w:type="spellEnd"/>
      <w:r w:rsidRPr="006F1472">
        <w:rPr>
          <w:rFonts w:asciiTheme="minorHAnsi" w:hAnsiTheme="minorHAnsi"/>
          <w:i/>
          <w:szCs w:val="22"/>
        </w:rPr>
        <w:t xml:space="preserve">: </w:t>
      </w:r>
      <w:proofErr w:type="spellStart"/>
      <w:r w:rsidRPr="006F1472">
        <w:rPr>
          <w:rFonts w:asciiTheme="minorHAnsi" w:hAnsiTheme="minorHAnsi"/>
          <w:i/>
          <w:szCs w:val="22"/>
        </w:rPr>
        <w:t>diagnostic</w:t>
      </w:r>
      <w:proofErr w:type="spellEnd"/>
      <w:r w:rsidRPr="006F1472">
        <w:rPr>
          <w:rFonts w:asciiTheme="minorHAnsi" w:hAnsiTheme="minorHAnsi"/>
          <w:i/>
          <w:szCs w:val="22"/>
        </w:rPr>
        <w:t xml:space="preserve"> des </w:t>
      </w:r>
      <w:proofErr w:type="spellStart"/>
      <w:r w:rsidRPr="006F1472">
        <w:rPr>
          <w:rFonts w:asciiTheme="minorHAnsi" w:hAnsiTheme="minorHAnsi"/>
          <w:i/>
          <w:szCs w:val="22"/>
        </w:rPr>
        <w:t>systèmes</w:t>
      </w:r>
      <w:proofErr w:type="spellEnd"/>
      <w:r w:rsidRPr="006F1472">
        <w:rPr>
          <w:rFonts w:asciiTheme="minorHAnsi" w:hAnsiTheme="minorHAnsi"/>
          <w:szCs w:val="22"/>
        </w:rPr>
        <w:t xml:space="preserve"> </w:t>
      </w:r>
      <w:r w:rsidRPr="006F1472">
        <w:rPr>
          <w:rFonts w:asciiTheme="minorHAnsi" w:hAnsiTheme="minorHAnsi"/>
          <w:i/>
          <w:szCs w:val="22"/>
        </w:rPr>
        <w:t xml:space="preserve">de </w:t>
      </w:r>
      <w:proofErr w:type="spellStart"/>
      <w:r w:rsidRPr="006F1472">
        <w:rPr>
          <w:rFonts w:asciiTheme="minorHAnsi" w:hAnsiTheme="minorHAnsi"/>
          <w:i/>
          <w:szCs w:val="22"/>
        </w:rPr>
        <w:t>production</w:t>
      </w:r>
      <w:proofErr w:type="spellEnd"/>
      <w:r w:rsidRPr="006F1472">
        <w:rPr>
          <w:rFonts w:asciiTheme="minorHAnsi" w:hAnsiTheme="minorHAnsi"/>
          <w:i/>
          <w:szCs w:val="22"/>
        </w:rPr>
        <w:t>.</w:t>
      </w:r>
      <w:r w:rsidRPr="006F1472">
        <w:rPr>
          <w:rFonts w:asciiTheme="minorHAnsi" w:hAnsiTheme="minorHAnsi"/>
          <w:szCs w:val="22"/>
        </w:rPr>
        <w:t xml:space="preserve"> </w:t>
      </w:r>
      <w:r w:rsidRPr="006F1472">
        <w:rPr>
          <w:rFonts w:asciiTheme="minorHAnsi" w:hAnsiTheme="minorHAnsi"/>
          <w:szCs w:val="22"/>
          <w:lang w:val="en-US"/>
        </w:rPr>
        <w:t xml:space="preserve">Editions </w:t>
      </w:r>
      <w:proofErr w:type="spellStart"/>
      <w:r w:rsidRPr="006F1472">
        <w:rPr>
          <w:rFonts w:asciiTheme="minorHAnsi" w:hAnsiTheme="minorHAnsi"/>
          <w:szCs w:val="22"/>
          <w:lang w:val="en-US"/>
        </w:rPr>
        <w:t>Quae</w:t>
      </w:r>
      <w:proofErr w:type="spellEnd"/>
      <w:r w:rsidRPr="006F1472">
        <w:rPr>
          <w:rFonts w:asciiTheme="minorHAnsi" w:hAnsiTheme="minorHAnsi"/>
          <w:szCs w:val="22"/>
          <w:lang w:val="en-US"/>
        </w:rPr>
        <w:t xml:space="preserve">, CTA, Presses </w:t>
      </w:r>
      <w:proofErr w:type="spellStart"/>
      <w:r w:rsidRPr="006F1472">
        <w:rPr>
          <w:rFonts w:asciiTheme="minorHAnsi" w:hAnsiTheme="minorHAnsi"/>
          <w:szCs w:val="22"/>
          <w:lang w:val="en-US"/>
        </w:rPr>
        <w:t>agronomiques</w:t>
      </w:r>
      <w:proofErr w:type="spellEnd"/>
      <w:r w:rsidRPr="006F1472">
        <w:rPr>
          <w:rFonts w:asciiTheme="minorHAnsi" w:hAnsiTheme="minorHAnsi"/>
          <w:szCs w:val="22"/>
          <w:lang w:val="en-US"/>
        </w:rPr>
        <w:t xml:space="preserve"> de Gembloux</w:t>
      </w:r>
    </w:p>
    <w:p w14:paraId="6D4A9FBE" w14:textId="654B06A4" w:rsidR="00565591" w:rsidRPr="006F1472" w:rsidRDefault="00565591" w:rsidP="00565591">
      <w:pPr>
        <w:ind w:left="709" w:hanging="709"/>
        <w:contextualSpacing/>
        <w:rPr>
          <w:rFonts w:asciiTheme="minorHAnsi" w:hAnsiTheme="minorHAnsi"/>
          <w:szCs w:val="22"/>
          <w:lang w:val="en-US"/>
        </w:rPr>
      </w:pPr>
      <w:r w:rsidRPr="006F1472">
        <w:rPr>
          <w:rFonts w:asciiTheme="minorHAnsi" w:hAnsiTheme="minorHAnsi"/>
          <w:szCs w:val="22"/>
          <w:lang w:val="en-US"/>
        </w:rPr>
        <w:t>GIZ (2020</w:t>
      </w:r>
      <w:r w:rsidRPr="006F1472">
        <w:rPr>
          <w:rFonts w:asciiTheme="minorHAnsi" w:hAnsiTheme="minorHAnsi"/>
          <w:i/>
          <w:szCs w:val="22"/>
          <w:lang w:val="en-US"/>
        </w:rPr>
        <w:t>).  What works in rural youth employment promotion</w:t>
      </w:r>
      <w:r w:rsidRPr="006F1472">
        <w:rPr>
          <w:rFonts w:asciiTheme="minorHAnsi" w:hAnsiTheme="minorHAnsi"/>
          <w:szCs w:val="22"/>
          <w:lang w:val="en-US"/>
        </w:rPr>
        <w:t xml:space="preserve">. Bonn y </w:t>
      </w:r>
      <w:proofErr w:type="spellStart"/>
      <w:r w:rsidRPr="006F1472">
        <w:rPr>
          <w:rFonts w:asciiTheme="minorHAnsi" w:hAnsiTheme="minorHAnsi"/>
          <w:szCs w:val="22"/>
          <w:lang w:val="en-US"/>
        </w:rPr>
        <w:t>Eschborn</w:t>
      </w:r>
      <w:proofErr w:type="spellEnd"/>
      <w:r w:rsidRPr="006F1472">
        <w:rPr>
          <w:rFonts w:asciiTheme="minorHAnsi" w:hAnsiTheme="minorHAnsi"/>
          <w:szCs w:val="22"/>
          <w:lang w:val="en-US"/>
        </w:rPr>
        <w:t xml:space="preserve">: Division Rural Development and Agriculture Department Sector and Global </w:t>
      </w:r>
      <w:proofErr w:type="spellStart"/>
      <w:r w:rsidRPr="006F1472">
        <w:rPr>
          <w:rFonts w:asciiTheme="minorHAnsi" w:hAnsiTheme="minorHAnsi"/>
          <w:szCs w:val="22"/>
          <w:lang w:val="en-US"/>
        </w:rPr>
        <w:t>Programmes</w:t>
      </w:r>
      <w:proofErr w:type="spellEnd"/>
      <w:r w:rsidRPr="006F1472">
        <w:rPr>
          <w:rFonts w:asciiTheme="minorHAnsi" w:hAnsiTheme="minorHAnsi"/>
          <w:szCs w:val="22"/>
          <w:lang w:val="en-US"/>
        </w:rPr>
        <w:t xml:space="preserve">. </w:t>
      </w:r>
    </w:p>
    <w:p w14:paraId="62DF3C13" w14:textId="77777777" w:rsidR="00565591" w:rsidRPr="006F1472" w:rsidRDefault="00565591" w:rsidP="00565591">
      <w:pPr>
        <w:suppressAutoHyphens/>
        <w:ind w:left="709" w:hanging="709"/>
        <w:contextualSpacing/>
        <w:rPr>
          <w:rFonts w:asciiTheme="minorHAnsi" w:hAnsiTheme="minorHAnsi"/>
          <w:szCs w:val="22"/>
          <w:lang w:val="en-US"/>
        </w:rPr>
      </w:pPr>
      <w:r w:rsidRPr="006F1472">
        <w:rPr>
          <w:rFonts w:asciiTheme="minorHAnsi" w:hAnsiTheme="minorHAnsi"/>
          <w:szCs w:val="22"/>
        </w:rPr>
        <w:t xml:space="preserve">INS (2020). </w:t>
      </w:r>
      <w:proofErr w:type="spellStart"/>
      <w:r w:rsidRPr="006F1472">
        <w:rPr>
          <w:rFonts w:asciiTheme="minorHAnsi" w:hAnsiTheme="minorHAnsi"/>
          <w:i/>
          <w:szCs w:val="22"/>
        </w:rPr>
        <w:t>Annuaire</w:t>
      </w:r>
      <w:proofErr w:type="spellEnd"/>
      <w:r w:rsidRPr="006F1472">
        <w:rPr>
          <w:rFonts w:asciiTheme="minorHAnsi" w:hAnsiTheme="minorHAnsi"/>
          <w:i/>
          <w:szCs w:val="22"/>
        </w:rPr>
        <w:t xml:space="preserve"> </w:t>
      </w:r>
      <w:proofErr w:type="spellStart"/>
      <w:r w:rsidRPr="006F1472">
        <w:rPr>
          <w:rFonts w:asciiTheme="minorHAnsi" w:hAnsiTheme="minorHAnsi"/>
          <w:i/>
          <w:szCs w:val="22"/>
        </w:rPr>
        <w:t>statistique</w:t>
      </w:r>
      <w:proofErr w:type="spellEnd"/>
      <w:r w:rsidRPr="006F1472">
        <w:rPr>
          <w:rFonts w:asciiTheme="minorHAnsi" w:hAnsiTheme="minorHAnsi"/>
          <w:i/>
          <w:szCs w:val="22"/>
        </w:rPr>
        <w:t xml:space="preserve"> de la </w:t>
      </w:r>
      <w:proofErr w:type="spellStart"/>
      <w:r w:rsidRPr="006F1472">
        <w:rPr>
          <w:rFonts w:asciiTheme="minorHAnsi" w:hAnsiTheme="minorHAnsi"/>
          <w:i/>
          <w:szCs w:val="22"/>
        </w:rPr>
        <w:t>République</w:t>
      </w:r>
      <w:proofErr w:type="spellEnd"/>
      <w:r w:rsidRPr="006F1472">
        <w:rPr>
          <w:rFonts w:asciiTheme="minorHAnsi" w:hAnsiTheme="minorHAnsi"/>
          <w:i/>
          <w:szCs w:val="22"/>
        </w:rPr>
        <w:t xml:space="preserve"> </w:t>
      </w:r>
      <w:proofErr w:type="spellStart"/>
      <w:r w:rsidRPr="006F1472">
        <w:rPr>
          <w:rFonts w:asciiTheme="minorHAnsi" w:hAnsiTheme="minorHAnsi"/>
          <w:i/>
          <w:szCs w:val="22"/>
        </w:rPr>
        <w:t>Démocratique</w:t>
      </w:r>
      <w:proofErr w:type="spellEnd"/>
      <w:r w:rsidRPr="006F1472">
        <w:rPr>
          <w:rFonts w:asciiTheme="minorHAnsi" w:hAnsiTheme="minorHAnsi"/>
          <w:i/>
          <w:szCs w:val="22"/>
        </w:rPr>
        <w:t xml:space="preserve"> du Congo</w:t>
      </w:r>
      <w:r w:rsidRPr="006F1472">
        <w:rPr>
          <w:rFonts w:asciiTheme="minorHAnsi" w:hAnsiTheme="minorHAnsi"/>
          <w:szCs w:val="22"/>
        </w:rPr>
        <w:t xml:space="preserve">. </w:t>
      </w:r>
      <w:r w:rsidRPr="006F1472">
        <w:rPr>
          <w:rFonts w:asciiTheme="minorHAnsi" w:hAnsiTheme="minorHAnsi"/>
          <w:szCs w:val="22"/>
          <w:lang w:val="en-US"/>
        </w:rPr>
        <w:t xml:space="preserve">Direction Générale de </w:t>
      </w:r>
      <w:proofErr w:type="spellStart"/>
      <w:r w:rsidRPr="006F1472">
        <w:rPr>
          <w:rFonts w:asciiTheme="minorHAnsi" w:hAnsiTheme="minorHAnsi"/>
          <w:szCs w:val="22"/>
          <w:lang w:val="en-US"/>
        </w:rPr>
        <w:t>l’Institut</w:t>
      </w:r>
      <w:proofErr w:type="spellEnd"/>
      <w:r w:rsidRPr="006F1472">
        <w:rPr>
          <w:rFonts w:asciiTheme="minorHAnsi" w:hAnsiTheme="minorHAnsi"/>
          <w:szCs w:val="22"/>
          <w:lang w:val="en-US"/>
        </w:rPr>
        <w:t xml:space="preserve"> National de </w:t>
      </w:r>
      <w:proofErr w:type="spellStart"/>
      <w:r w:rsidRPr="006F1472">
        <w:rPr>
          <w:rFonts w:asciiTheme="minorHAnsi" w:hAnsiTheme="minorHAnsi"/>
          <w:szCs w:val="22"/>
          <w:lang w:val="en-US"/>
        </w:rPr>
        <w:t>Statistique</w:t>
      </w:r>
      <w:proofErr w:type="spellEnd"/>
      <w:r w:rsidRPr="006F1472">
        <w:rPr>
          <w:rFonts w:asciiTheme="minorHAnsi" w:hAnsiTheme="minorHAnsi"/>
          <w:szCs w:val="22"/>
          <w:lang w:val="en-US"/>
        </w:rPr>
        <w:t xml:space="preserve"> (INS). </w:t>
      </w:r>
    </w:p>
    <w:p w14:paraId="29108F14" w14:textId="77777777" w:rsidR="00565591" w:rsidRPr="006F1472" w:rsidRDefault="00565591" w:rsidP="00565591">
      <w:pPr>
        <w:autoSpaceDE w:val="0"/>
        <w:autoSpaceDN w:val="0"/>
        <w:adjustRightInd w:val="0"/>
        <w:ind w:left="709" w:hanging="709"/>
        <w:contextualSpacing/>
        <w:rPr>
          <w:rFonts w:asciiTheme="minorHAnsi" w:hAnsiTheme="minorHAnsi"/>
          <w:szCs w:val="22"/>
          <w:lang w:val="en-US"/>
        </w:rPr>
      </w:pPr>
      <w:r w:rsidRPr="006F1472">
        <w:rPr>
          <w:rFonts w:asciiTheme="minorHAnsi" w:hAnsiTheme="minorHAnsi"/>
          <w:szCs w:val="22"/>
          <w:lang w:val="en-US"/>
        </w:rPr>
        <w:t xml:space="preserve">Knapp, J. y </w:t>
      </w:r>
      <w:proofErr w:type="spellStart"/>
      <w:r w:rsidRPr="006F1472">
        <w:rPr>
          <w:rFonts w:asciiTheme="minorHAnsi" w:hAnsiTheme="minorHAnsi"/>
          <w:szCs w:val="22"/>
          <w:lang w:val="en-US"/>
        </w:rPr>
        <w:t>Griffieon</w:t>
      </w:r>
      <w:proofErr w:type="spellEnd"/>
      <w:r w:rsidRPr="006F1472">
        <w:rPr>
          <w:rFonts w:asciiTheme="minorHAnsi" w:hAnsiTheme="minorHAnsi"/>
          <w:szCs w:val="22"/>
          <w:lang w:val="en-US"/>
        </w:rPr>
        <w:t xml:space="preserve">, L. (1999). </w:t>
      </w:r>
      <w:r w:rsidRPr="006F1472">
        <w:rPr>
          <w:rFonts w:asciiTheme="minorHAnsi" w:hAnsiTheme="minorHAnsi"/>
          <w:i/>
          <w:szCs w:val="22"/>
          <w:lang w:val="en-US"/>
        </w:rPr>
        <w:t>Non-farmers Guide to Agriculture (Polk County).</w:t>
      </w:r>
      <w:r w:rsidRPr="006F1472">
        <w:rPr>
          <w:rFonts w:asciiTheme="minorHAnsi" w:hAnsiTheme="minorHAnsi"/>
          <w:szCs w:val="22"/>
          <w:lang w:val="en-US"/>
        </w:rPr>
        <w:t xml:space="preserve"> Leopold Center Competitive Grant Report </w:t>
      </w:r>
    </w:p>
    <w:p w14:paraId="7B4DB480" w14:textId="77777777" w:rsidR="00565591" w:rsidRPr="006F1472" w:rsidRDefault="00565591" w:rsidP="00565591">
      <w:pPr>
        <w:ind w:left="709" w:hanging="709"/>
        <w:contextualSpacing/>
        <w:rPr>
          <w:rStyle w:val="Hipervnculo"/>
          <w:rFonts w:asciiTheme="minorHAnsi" w:hAnsiTheme="minorHAnsi"/>
          <w:szCs w:val="22"/>
          <w:lang w:val="en-US"/>
        </w:rPr>
      </w:pPr>
      <w:proofErr w:type="spellStart"/>
      <w:r w:rsidRPr="006F1472">
        <w:rPr>
          <w:rFonts w:asciiTheme="minorHAnsi" w:hAnsiTheme="minorHAnsi"/>
          <w:szCs w:val="22"/>
          <w:lang w:val="en-US"/>
        </w:rPr>
        <w:t>Kruijssen</w:t>
      </w:r>
      <w:proofErr w:type="spellEnd"/>
      <w:r w:rsidRPr="006F1472">
        <w:rPr>
          <w:rFonts w:asciiTheme="minorHAnsi" w:hAnsiTheme="minorHAnsi"/>
          <w:szCs w:val="22"/>
          <w:lang w:val="en-US"/>
        </w:rPr>
        <w:t xml:space="preserve">, F. (2009) Youth engagement in agricultural research. A focus on Sub-Sahara Africa. Wageningen International. Wageningen University and Research Centre, Wageningen. </w:t>
      </w:r>
    </w:p>
    <w:p w14:paraId="6F128237" w14:textId="77777777" w:rsidR="00565591" w:rsidRPr="006F1472" w:rsidRDefault="00565591" w:rsidP="00565591">
      <w:pPr>
        <w:autoSpaceDE w:val="0"/>
        <w:autoSpaceDN w:val="0"/>
        <w:adjustRightInd w:val="0"/>
        <w:ind w:left="709" w:hanging="709"/>
        <w:contextualSpacing/>
        <w:rPr>
          <w:rFonts w:asciiTheme="minorHAnsi" w:hAnsiTheme="minorHAnsi"/>
          <w:szCs w:val="22"/>
        </w:rPr>
      </w:pPr>
      <w:r w:rsidRPr="006F1472">
        <w:rPr>
          <w:rFonts w:asciiTheme="minorHAnsi" w:hAnsiTheme="minorHAnsi"/>
          <w:szCs w:val="22"/>
        </w:rPr>
        <w:t xml:space="preserve">Le </w:t>
      </w:r>
      <w:proofErr w:type="spellStart"/>
      <w:r w:rsidRPr="006F1472">
        <w:rPr>
          <w:rFonts w:asciiTheme="minorHAnsi" w:hAnsiTheme="minorHAnsi"/>
          <w:szCs w:val="22"/>
        </w:rPr>
        <w:t>Moigne</w:t>
      </w:r>
      <w:proofErr w:type="spellEnd"/>
      <w:r w:rsidRPr="006F1472">
        <w:rPr>
          <w:rFonts w:asciiTheme="minorHAnsi" w:hAnsiTheme="minorHAnsi"/>
          <w:szCs w:val="22"/>
        </w:rPr>
        <w:t xml:space="preserve">, J. L. (1990). </w:t>
      </w:r>
      <w:r w:rsidRPr="006F1472">
        <w:rPr>
          <w:rFonts w:asciiTheme="minorHAnsi" w:hAnsiTheme="minorHAnsi"/>
          <w:i/>
          <w:szCs w:val="22"/>
        </w:rPr>
        <w:t xml:space="preserve">La </w:t>
      </w:r>
      <w:proofErr w:type="spellStart"/>
      <w:r w:rsidRPr="006F1472">
        <w:rPr>
          <w:rFonts w:asciiTheme="minorHAnsi" w:hAnsiTheme="minorHAnsi"/>
          <w:i/>
          <w:szCs w:val="22"/>
        </w:rPr>
        <w:t>modélisation</w:t>
      </w:r>
      <w:proofErr w:type="spellEnd"/>
      <w:r w:rsidRPr="006F1472">
        <w:rPr>
          <w:rFonts w:asciiTheme="minorHAnsi" w:hAnsiTheme="minorHAnsi"/>
          <w:i/>
          <w:szCs w:val="22"/>
        </w:rPr>
        <w:t xml:space="preserve"> des </w:t>
      </w:r>
      <w:proofErr w:type="spellStart"/>
      <w:r w:rsidRPr="006F1472">
        <w:rPr>
          <w:rFonts w:asciiTheme="minorHAnsi" w:hAnsiTheme="minorHAnsi"/>
          <w:i/>
          <w:szCs w:val="22"/>
        </w:rPr>
        <w:t>systèmes</w:t>
      </w:r>
      <w:proofErr w:type="spellEnd"/>
      <w:r w:rsidRPr="006F1472">
        <w:rPr>
          <w:rFonts w:asciiTheme="minorHAnsi" w:hAnsiTheme="minorHAnsi"/>
          <w:i/>
          <w:szCs w:val="22"/>
        </w:rPr>
        <w:t xml:space="preserve"> complexes</w:t>
      </w:r>
      <w:r w:rsidRPr="006F1472">
        <w:rPr>
          <w:rFonts w:asciiTheme="minorHAnsi" w:hAnsiTheme="minorHAnsi"/>
          <w:szCs w:val="22"/>
        </w:rPr>
        <w:t xml:space="preserve">. Bordas, </w:t>
      </w:r>
      <w:proofErr w:type="spellStart"/>
      <w:r w:rsidRPr="006F1472">
        <w:rPr>
          <w:rFonts w:asciiTheme="minorHAnsi" w:hAnsiTheme="minorHAnsi"/>
          <w:szCs w:val="22"/>
        </w:rPr>
        <w:t>Dunod</w:t>
      </w:r>
      <w:proofErr w:type="spellEnd"/>
      <w:r w:rsidRPr="006F1472">
        <w:rPr>
          <w:rFonts w:asciiTheme="minorHAnsi" w:hAnsiTheme="minorHAnsi"/>
          <w:szCs w:val="22"/>
        </w:rPr>
        <w:t xml:space="preserve">. </w:t>
      </w:r>
    </w:p>
    <w:p w14:paraId="341A7197" w14:textId="77777777" w:rsidR="00565591" w:rsidRPr="006F1472" w:rsidRDefault="00565591" w:rsidP="00565591">
      <w:pPr>
        <w:ind w:left="709" w:hanging="709"/>
        <w:contextualSpacing/>
        <w:rPr>
          <w:rFonts w:asciiTheme="minorHAnsi" w:hAnsiTheme="minorHAnsi"/>
          <w:szCs w:val="22"/>
          <w:lang w:val="en-US"/>
        </w:rPr>
      </w:pPr>
      <w:r w:rsidRPr="006F1472">
        <w:rPr>
          <w:rFonts w:asciiTheme="minorHAnsi" w:hAnsiTheme="minorHAnsi"/>
          <w:szCs w:val="22"/>
        </w:rPr>
        <w:t xml:space="preserve">Le </w:t>
      </w:r>
      <w:proofErr w:type="spellStart"/>
      <w:r w:rsidRPr="006F1472">
        <w:rPr>
          <w:rFonts w:asciiTheme="minorHAnsi" w:hAnsiTheme="minorHAnsi"/>
          <w:szCs w:val="22"/>
        </w:rPr>
        <w:t>Moigne</w:t>
      </w:r>
      <w:proofErr w:type="spellEnd"/>
      <w:r w:rsidRPr="006F1472">
        <w:rPr>
          <w:rFonts w:asciiTheme="minorHAnsi" w:hAnsiTheme="minorHAnsi"/>
          <w:szCs w:val="22"/>
        </w:rPr>
        <w:t xml:space="preserve">, J. L. (1995). </w:t>
      </w:r>
      <w:r w:rsidRPr="006F1472">
        <w:rPr>
          <w:rFonts w:asciiTheme="minorHAnsi" w:hAnsiTheme="minorHAnsi"/>
          <w:i/>
          <w:szCs w:val="22"/>
        </w:rPr>
        <w:t xml:space="preserve">Les </w:t>
      </w:r>
      <w:proofErr w:type="spellStart"/>
      <w:r w:rsidRPr="006F1472">
        <w:rPr>
          <w:rFonts w:asciiTheme="minorHAnsi" w:hAnsiTheme="minorHAnsi"/>
          <w:i/>
          <w:szCs w:val="22"/>
        </w:rPr>
        <w:t>épistémologies</w:t>
      </w:r>
      <w:proofErr w:type="spellEnd"/>
      <w:r w:rsidRPr="006F1472">
        <w:rPr>
          <w:rFonts w:asciiTheme="minorHAnsi" w:hAnsiTheme="minorHAnsi"/>
          <w:i/>
          <w:szCs w:val="22"/>
        </w:rPr>
        <w:t xml:space="preserve"> </w:t>
      </w:r>
      <w:proofErr w:type="spellStart"/>
      <w:r w:rsidRPr="006F1472">
        <w:rPr>
          <w:rFonts w:asciiTheme="minorHAnsi" w:hAnsiTheme="minorHAnsi"/>
          <w:i/>
          <w:szCs w:val="22"/>
        </w:rPr>
        <w:t>constructivistes</w:t>
      </w:r>
      <w:proofErr w:type="spellEnd"/>
      <w:r w:rsidRPr="006F1472">
        <w:rPr>
          <w:rFonts w:asciiTheme="minorHAnsi" w:hAnsiTheme="minorHAnsi"/>
          <w:i/>
          <w:szCs w:val="22"/>
        </w:rPr>
        <w:t>, Que-</w:t>
      </w:r>
      <w:proofErr w:type="spellStart"/>
      <w:r w:rsidRPr="006F1472">
        <w:rPr>
          <w:rFonts w:asciiTheme="minorHAnsi" w:hAnsiTheme="minorHAnsi"/>
          <w:i/>
          <w:szCs w:val="22"/>
        </w:rPr>
        <w:t>sais</w:t>
      </w:r>
      <w:proofErr w:type="spellEnd"/>
      <w:r w:rsidRPr="006F1472">
        <w:rPr>
          <w:rFonts w:asciiTheme="minorHAnsi" w:hAnsiTheme="minorHAnsi"/>
          <w:i/>
          <w:szCs w:val="22"/>
        </w:rPr>
        <w:t>-je</w:t>
      </w:r>
      <w:r w:rsidRPr="006F1472">
        <w:rPr>
          <w:rFonts w:asciiTheme="minorHAnsi" w:hAnsiTheme="minorHAnsi"/>
          <w:szCs w:val="22"/>
        </w:rPr>
        <w:t xml:space="preserve">. </w:t>
      </w:r>
      <w:r w:rsidRPr="006F1472">
        <w:rPr>
          <w:rFonts w:asciiTheme="minorHAnsi" w:hAnsiTheme="minorHAnsi"/>
          <w:szCs w:val="22"/>
          <w:lang w:val="en-US"/>
        </w:rPr>
        <w:t>PUF.</w:t>
      </w:r>
    </w:p>
    <w:p w14:paraId="75848033" w14:textId="77777777" w:rsidR="00565591" w:rsidRPr="006F1472" w:rsidRDefault="00565591" w:rsidP="00565591">
      <w:pPr>
        <w:ind w:left="709" w:hanging="709"/>
        <w:contextualSpacing/>
        <w:rPr>
          <w:rFonts w:asciiTheme="minorHAnsi" w:hAnsiTheme="minorHAnsi"/>
          <w:szCs w:val="22"/>
          <w:lang w:val="en-US"/>
        </w:rPr>
      </w:pPr>
      <w:r w:rsidRPr="006F1472">
        <w:rPr>
          <w:rFonts w:asciiTheme="minorHAnsi" w:hAnsiTheme="minorHAnsi"/>
          <w:color w:val="000000"/>
          <w:szCs w:val="22"/>
          <w:lang w:val="en-US"/>
        </w:rPr>
        <w:t xml:space="preserve">Likert, R. (1932). </w:t>
      </w:r>
      <w:r w:rsidRPr="006F1472">
        <w:rPr>
          <w:rFonts w:asciiTheme="minorHAnsi" w:hAnsiTheme="minorHAnsi"/>
          <w:i/>
          <w:color w:val="000000"/>
          <w:szCs w:val="22"/>
          <w:lang w:val="en-US"/>
        </w:rPr>
        <w:t>A Technique for the Measurement of Attitudes.</w:t>
      </w:r>
      <w:r w:rsidRPr="006F1472">
        <w:rPr>
          <w:rFonts w:asciiTheme="minorHAnsi" w:hAnsiTheme="minorHAnsi"/>
          <w:color w:val="000000"/>
          <w:szCs w:val="22"/>
          <w:lang w:val="en-US"/>
        </w:rPr>
        <w:t xml:space="preserve"> Archives of Psychology</w:t>
      </w:r>
    </w:p>
    <w:p w14:paraId="77371644" w14:textId="77777777" w:rsidR="00565591" w:rsidRPr="006F1472" w:rsidRDefault="00565591" w:rsidP="00565591">
      <w:pPr>
        <w:ind w:left="709" w:hanging="709"/>
        <w:contextualSpacing/>
        <w:rPr>
          <w:rStyle w:val="Hipervnculo"/>
          <w:rFonts w:asciiTheme="minorHAnsi" w:hAnsiTheme="minorHAnsi"/>
          <w:szCs w:val="22"/>
        </w:rPr>
      </w:pPr>
      <w:r w:rsidRPr="006F1472">
        <w:rPr>
          <w:rFonts w:asciiTheme="minorHAnsi" w:hAnsiTheme="minorHAnsi"/>
          <w:szCs w:val="22"/>
          <w:lang w:val="en-US"/>
        </w:rPr>
        <w:t xml:space="preserve">Magnani, R. (2001), </w:t>
      </w:r>
      <w:r w:rsidRPr="006F1472">
        <w:rPr>
          <w:rFonts w:asciiTheme="minorHAnsi" w:hAnsiTheme="minorHAnsi"/>
          <w:i/>
          <w:szCs w:val="22"/>
          <w:lang w:val="en-US"/>
        </w:rPr>
        <w:t xml:space="preserve">Guide </w:t>
      </w:r>
      <w:proofErr w:type="spellStart"/>
      <w:r w:rsidRPr="006F1472">
        <w:rPr>
          <w:rFonts w:asciiTheme="minorHAnsi" w:hAnsiTheme="minorHAnsi"/>
          <w:i/>
          <w:szCs w:val="22"/>
          <w:lang w:val="en-US"/>
        </w:rPr>
        <w:t>d’Echantillonnage</w:t>
      </w:r>
      <w:proofErr w:type="spellEnd"/>
      <w:r w:rsidRPr="006F1472">
        <w:rPr>
          <w:rFonts w:asciiTheme="minorHAnsi" w:hAnsiTheme="minorHAnsi"/>
          <w:szCs w:val="22"/>
          <w:lang w:val="en-US"/>
        </w:rPr>
        <w:t xml:space="preserve">. Academy for Educational Development. </w:t>
      </w:r>
      <w:hyperlink r:id="rId28" w:history="1">
        <w:r w:rsidRPr="006F1472">
          <w:rPr>
            <w:rStyle w:val="Hipervnculo"/>
            <w:rFonts w:asciiTheme="minorHAnsi" w:hAnsiTheme="minorHAnsi"/>
            <w:szCs w:val="22"/>
          </w:rPr>
          <w:t>http://www.managingforimpact.org/sites/default/files/resource/fanta_2012_guide_d_echantillonnage_et_addendum.pdf</w:t>
        </w:r>
      </w:hyperlink>
    </w:p>
    <w:p w14:paraId="175E24B8" w14:textId="77777777" w:rsidR="00565591" w:rsidRPr="006F1472" w:rsidRDefault="00565591" w:rsidP="00565591">
      <w:pPr>
        <w:ind w:left="709" w:hanging="709"/>
        <w:contextualSpacing/>
        <w:rPr>
          <w:rStyle w:val="Hipervnculo"/>
          <w:rFonts w:asciiTheme="minorHAnsi" w:hAnsiTheme="minorHAnsi"/>
          <w:szCs w:val="22"/>
        </w:rPr>
      </w:pPr>
      <w:proofErr w:type="spellStart"/>
      <w:r w:rsidRPr="006F1472">
        <w:rPr>
          <w:rFonts w:asciiTheme="minorHAnsi" w:hAnsiTheme="minorHAnsi"/>
          <w:szCs w:val="22"/>
        </w:rPr>
        <w:t>Minani</w:t>
      </w:r>
      <w:proofErr w:type="spellEnd"/>
      <w:r w:rsidRPr="006F1472">
        <w:rPr>
          <w:rFonts w:asciiTheme="minorHAnsi" w:hAnsiTheme="minorHAnsi"/>
          <w:szCs w:val="22"/>
        </w:rPr>
        <w:t>, B. (2014).</w:t>
      </w:r>
      <w:r w:rsidRPr="006F1472">
        <w:rPr>
          <w:rFonts w:asciiTheme="minorHAnsi" w:hAnsiTheme="minorHAnsi"/>
          <w:b/>
          <w:i/>
          <w:szCs w:val="22"/>
        </w:rPr>
        <w:t xml:space="preserve"> </w:t>
      </w:r>
      <w:proofErr w:type="spellStart"/>
      <w:r w:rsidRPr="006F1472">
        <w:rPr>
          <w:rFonts w:asciiTheme="minorHAnsi" w:hAnsiTheme="minorHAnsi"/>
          <w:i/>
          <w:szCs w:val="22"/>
        </w:rPr>
        <w:t>Analyse</w:t>
      </w:r>
      <w:proofErr w:type="spellEnd"/>
      <w:r w:rsidRPr="006F1472">
        <w:rPr>
          <w:rFonts w:asciiTheme="minorHAnsi" w:hAnsiTheme="minorHAnsi"/>
          <w:i/>
          <w:szCs w:val="22"/>
        </w:rPr>
        <w:t xml:space="preserve"> et </w:t>
      </w:r>
      <w:proofErr w:type="spellStart"/>
      <w:r w:rsidRPr="006F1472">
        <w:rPr>
          <w:rFonts w:asciiTheme="minorHAnsi" w:hAnsiTheme="minorHAnsi"/>
          <w:i/>
          <w:szCs w:val="22"/>
        </w:rPr>
        <w:t>stratégies</w:t>
      </w:r>
      <w:proofErr w:type="spellEnd"/>
      <w:r w:rsidRPr="006F1472">
        <w:rPr>
          <w:rFonts w:asciiTheme="minorHAnsi" w:hAnsiTheme="minorHAnsi"/>
          <w:i/>
          <w:szCs w:val="22"/>
        </w:rPr>
        <w:t xml:space="preserve"> de </w:t>
      </w:r>
      <w:proofErr w:type="spellStart"/>
      <w:r w:rsidRPr="006F1472">
        <w:rPr>
          <w:rFonts w:asciiTheme="minorHAnsi" w:hAnsiTheme="minorHAnsi"/>
          <w:i/>
          <w:szCs w:val="22"/>
        </w:rPr>
        <w:t>développement</w:t>
      </w:r>
      <w:proofErr w:type="spellEnd"/>
      <w:r w:rsidRPr="006F1472">
        <w:rPr>
          <w:rFonts w:asciiTheme="minorHAnsi" w:hAnsiTheme="minorHAnsi"/>
          <w:i/>
          <w:szCs w:val="22"/>
        </w:rPr>
        <w:t xml:space="preserve"> de </w:t>
      </w:r>
      <w:proofErr w:type="spellStart"/>
      <w:r w:rsidRPr="006F1472">
        <w:rPr>
          <w:rFonts w:asciiTheme="minorHAnsi" w:hAnsiTheme="minorHAnsi"/>
          <w:i/>
          <w:szCs w:val="22"/>
        </w:rPr>
        <w:t>l’agriculture</w:t>
      </w:r>
      <w:proofErr w:type="spellEnd"/>
      <w:r w:rsidRPr="006F1472">
        <w:rPr>
          <w:rFonts w:asciiTheme="minorHAnsi" w:hAnsiTheme="minorHAnsi"/>
          <w:i/>
          <w:szCs w:val="22"/>
        </w:rPr>
        <w:t xml:space="preserve"> </w:t>
      </w:r>
      <w:proofErr w:type="spellStart"/>
      <w:r w:rsidRPr="006F1472">
        <w:rPr>
          <w:rFonts w:asciiTheme="minorHAnsi" w:hAnsiTheme="minorHAnsi"/>
          <w:i/>
          <w:szCs w:val="22"/>
        </w:rPr>
        <w:t>familiale</w:t>
      </w:r>
      <w:proofErr w:type="spellEnd"/>
      <w:r w:rsidRPr="006F1472">
        <w:rPr>
          <w:rFonts w:asciiTheme="minorHAnsi" w:hAnsiTheme="minorHAnsi"/>
          <w:i/>
          <w:szCs w:val="22"/>
        </w:rPr>
        <w:t xml:space="preserve"> </w:t>
      </w:r>
      <w:proofErr w:type="spellStart"/>
      <w:r w:rsidRPr="006F1472">
        <w:rPr>
          <w:rFonts w:asciiTheme="minorHAnsi" w:hAnsiTheme="minorHAnsi"/>
          <w:i/>
          <w:szCs w:val="22"/>
        </w:rPr>
        <w:t>dans</w:t>
      </w:r>
      <w:proofErr w:type="spellEnd"/>
      <w:r w:rsidRPr="006F1472">
        <w:rPr>
          <w:rFonts w:asciiTheme="minorHAnsi" w:hAnsiTheme="minorHAnsi"/>
          <w:i/>
          <w:szCs w:val="22"/>
        </w:rPr>
        <w:t xml:space="preserve"> un </w:t>
      </w:r>
      <w:proofErr w:type="spellStart"/>
      <w:r w:rsidRPr="006F1472">
        <w:rPr>
          <w:rFonts w:asciiTheme="minorHAnsi" w:hAnsiTheme="minorHAnsi"/>
          <w:i/>
          <w:szCs w:val="22"/>
        </w:rPr>
        <w:t>pays</w:t>
      </w:r>
      <w:proofErr w:type="spellEnd"/>
      <w:r w:rsidRPr="006F1472">
        <w:rPr>
          <w:rFonts w:asciiTheme="minorHAnsi" w:hAnsiTheme="minorHAnsi"/>
          <w:i/>
          <w:szCs w:val="22"/>
        </w:rPr>
        <w:t xml:space="preserve"> post-</w:t>
      </w:r>
      <w:proofErr w:type="spellStart"/>
      <w:r w:rsidRPr="006F1472">
        <w:rPr>
          <w:rFonts w:asciiTheme="minorHAnsi" w:hAnsiTheme="minorHAnsi"/>
          <w:i/>
          <w:szCs w:val="22"/>
        </w:rPr>
        <w:t>conflit</w:t>
      </w:r>
      <w:proofErr w:type="spellEnd"/>
      <w:r w:rsidRPr="006F1472">
        <w:rPr>
          <w:rFonts w:asciiTheme="minorHAnsi" w:hAnsiTheme="minorHAnsi"/>
          <w:i/>
          <w:szCs w:val="22"/>
        </w:rPr>
        <w:t xml:space="preserve">: Cas de la </w:t>
      </w:r>
      <w:proofErr w:type="spellStart"/>
      <w:r w:rsidRPr="006F1472">
        <w:rPr>
          <w:rFonts w:asciiTheme="minorHAnsi" w:hAnsiTheme="minorHAnsi"/>
          <w:i/>
          <w:szCs w:val="22"/>
        </w:rPr>
        <w:t>Province</w:t>
      </w:r>
      <w:proofErr w:type="spellEnd"/>
      <w:r w:rsidRPr="006F1472">
        <w:rPr>
          <w:rFonts w:asciiTheme="minorHAnsi" w:hAnsiTheme="minorHAnsi"/>
          <w:i/>
          <w:szCs w:val="22"/>
        </w:rPr>
        <w:t xml:space="preserve"> de </w:t>
      </w:r>
      <w:proofErr w:type="spellStart"/>
      <w:r w:rsidRPr="006F1472">
        <w:rPr>
          <w:rFonts w:asciiTheme="minorHAnsi" w:hAnsiTheme="minorHAnsi"/>
          <w:i/>
          <w:szCs w:val="22"/>
        </w:rPr>
        <w:t>Kirundo</w:t>
      </w:r>
      <w:proofErr w:type="spellEnd"/>
      <w:r w:rsidRPr="006F1472">
        <w:rPr>
          <w:rFonts w:asciiTheme="minorHAnsi" w:hAnsiTheme="minorHAnsi"/>
          <w:i/>
          <w:szCs w:val="22"/>
        </w:rPr>
        <w:t xml:space="preserve"> </w:t>
      </w:r>
      <w:proofErr w:type="spellStart"/>
      <w:r w:rsidRPr="006F1472">
        <w:rPr>
          <w:rFonts w:asciiTheme="minorHAnsi" w:hAnsiTheme="minorHAnsi"/>
          <w:i/>
          <w:szCs w:val="22"/>
        </w:rPr>
        <w:t>au</w:t>
      </w:r>
      <w:proofErr w:type="spellEnd"/>
      <w:r w:rsidRPr="006F1472">
        <w:rPr>
          <w:rFonts w:asciiTheme="minorHAnsi" w:hAnsiTheme="minorHAnsi"/>
          <w:i/>
          <w:szCs w:val="22"/>
        </w:rPr>
        <w:t xml:space="preserve"> </w:t>
      </w:r>
      <w:proofErr w:type="spellStart"/>
      <w:r w:rsidRPr="006F1472">
        <w:rPr>
          <w:rFonts w:asciiTheme="minorHAnsi" w:hAnsiTheme="minorHAnsi"/>
          <w:i/>
          <w:szCs w:val="22"/>
        </w:rPr>
        <w:t>nord</w:t>
      </w:r>
      <w:proofErr w:type="spellEnd"/>
      <w:r w:rsidRPr="006F1472">
        <w:rPr>
          <w:rFonts w:asciiTheme="minorHAnsi" w:hAnsiTheme="minorHAnsi"/>
          <w:i/>
          <w:szCs w:val="22"/>
        </w:rPr>
        <w:t xml:space="preserve"> du Burundi. </w:t>
      </w:r>
      <w:r w:rsidRPr="006F1472">
        <w:rPr>
          <w:rFonts w:asciiTheme="minorHAnsi" w:hAnsiTheme="minorHAnsi"/>
          <w:szCs w:val="22"/>
        </w:rPr>
        <w:t>[</w:t>
      </w:r>
      <w:proofErr w:type="spellStart"/>
      <w:r w:rsidRPr="006F1472">
        <w:rPr>
          <w:rFonts w:asciiTheme="minorHAnsi" w:hAnsiTheme="minorHAnsi"/>
          <w:szCs w:val="22"/>
        </w:rPr>
        <w:t>Thèse</w:t>
      </w:r>
      <w:proofErr w:type="spellEnd"/>
      <w:r w:rsidRPr="006F1472">
        <w:rPr>
          <w:rFonts w:asciiTheme="minorHAnsi" w:hAnsiTheme="minorHAnsi"/>
          <w:szCs w:val="22"/>
        </w:rPr>
        <w:t xml:space="preserve"> </w:t>
      </w:r>
      <w:proofErr w:type="spellStart"/>
      <w:r w:rsidRPr="006F1472">
        <w:rPr>
          <w:rFonts w:asciiTheme="minorHAnsi" w:hAnsiTheme="minorHAnsi"/>
          <w:szCs w:val="22"/>
        </w:rPr>
        <w:t>doctorale</w:t>
      </w:r>
      <w:proofErr w:type="spellEnd"/>
      <w:r w:rsidRPr="006F1472">
        <w:rPr>
          <w:rFonts w:asciiTheme="minorHAnsi" w:hAnsiTheme="minorHAnsi"/>
          <w:szCs w:val="22"/>
        </w:rPr>
        <w:t xml:space="preserve"> non </w:t>
      </w:r>
      <w:proofErr w:type="spellStart"/>
      <w:r w:rsidRPr="006F1472">
        <w:rPr>
          <w:rFonts w:asciiTheme="minorHAnsi" w:hAnsiTheme="minorHAnsi"/>
          <w:szCs w:val="22"/>
        </w:rPr>
        <w:t>publiée</w:t>
      </w:r>
      <w:proofErr w:type="spellEnd"/>
      <w:r w:rsidRPr="006F1472">
        <w:rPr>
          <w:rFonts w:asciiTheme="minorHAnsi" w:hAnsiTheme="minorHAnsi"/>
          <w:szCs w:val="22"/>
        </w:rPr>
        <w:t>]</w:t>
      </w:r>
      <w:r w:rsidRPr="006F1472">
        <w:rPr>
          <w:rFonts w:asciiTheme="minorHAnsi" w:hAnsiTheme="minorHAnsi"/>
          <w:i/>
          <w:szCs w:val="22"/>
        </w:rPr>
        <w:t xml:space="preserve">. </w:t>
      </w:r>
      <w:proofErr w:type="spellStart"/>
      <w:r w:rsidRPr="006F1472">
        <w:rPr>
          <w:rFonts w:asciiTheme="minorHAnsi" w:hAnsiTheme="minorHAnsi"/>
          <w:szCs w:val="22"/>
        </w:rPr>
        <w:t>Université</w:t>
      </w:r>
      <w:proofErr w:type="spellEnd"/>
      <w:r w:rsidRPr="006F1472">
        <w:rPr>
          <w:rFonts w:asciiTheme="minorHAnsi" w:hAnsiTheme="minorHAnsi"/>
          <w:szCs w:val="22"/>
        </w:rPr>
        <w:t xml:space="preserve"> de </w:t>
      </w:r>
      <w:proofErr w:type="spellStart"/>
      <w:r w:rsidRPr="006F1472">
        <w:rPr>
          <w:rFonts w:asciiTheme="minorHAnsi" w:hAnsiTheme="minorHAnsi"/>
          <w:szCs w:val="22"/>
        </w:rPr>
        <w:t>Liège</w:t>
      </w:r>
      <w:proofErr w:type="spellEnd"/>
      <w:r w:rsidRPr="006F1472">
        <w:rPr>
          <w:rFonts w:asciiTheme="minorHAnsi" w:hAnsiTheme="minorHAnsi"/>
          <w:szCs w:val="22"/>
        </w:rPr>
        <w:t xml:space="preserve">, </w:t>
      </w:r>
      <w:proofErr w:type="spellStart"/>
      <w:r w:rsidRPr="006F1472">
        <w:rPr>
          <w:rFonts w:asciiTheme="minorHAnsi" w:hAnsiTheme="minorHAnsi"/>
          <w:szCs w:val="22"/>
        </w:rPr>
        <w:t>Gembloux</w:t>
      </w:r>
      <w:proofErr w:type="spellEnd"/>
      <w:r w:rsidRPr="006F1472">
        <w:rPr>
          <w:rFonts w:asciiTheme="minorHAnsi" w:hAnsiTheme="minorHAnsi"/>
          <w:szCs w:val="22"/>
        </w:rPr>
        <w:t xml:space="preserve"> Agro-Bio </w:t>
      </w:r>
      <w:proofErr w:type="spellStart"/>
      <w:r w:rsidRPr="006F1472">
        <w:rPr>
          <w:rFonts w:asciiTheme="minorHAnsi" w:hAnsiTheme="minorHAnsi"/>
          <w:szCs w:val="22"/>
        </w:rPr>
        <w:t>Tech</w:t>
      </w:r>
      <w:proofErr w:type="spellEnd"/>
      <w:r w:rsidRPr="006F1472">
        <w:rPr>
          <w:rFonts w:asciiTheme="minorHAnsi" w:hAnsiTheme="minorHAnsi"/>
          <w:szCs w:val="22"/>
        </w:rPr>
        <w:t xml:space="preserve">, </w:t>
      </w:r>
      <w:proofErr w:type="spellStart"/>
      <w:r w:rsidRPr="006F1472">
        <w:rPr>
          <w:rFonts w:asciiTheme="minorHAnsi" w:hAnsiTheme="minorHAnsi"/>
          <w:szCs w:val="22"/>
        </w:rPr>
        <w:t>Belgique</w:t>
      </w:r>
      <w:proofErr w:type="spellEnd"/>
      <w:r w:rsidRPr="006F1472">
        <w:rPr>
          <w:rFonts w:asciiTheme="minorHAnsi" w:hAnsiTheme="minorHAnsi"/>
          <w:szCs w:val="22"/>
        </w:rPr>
        <w:t xml:space="preserve">. </w:t>
      </w:r>
      <w:hyperlink r:id="rId29" w:history="1">
        <w:r w:rsidRPr="006F1472">
          <w:rPr>
            <w:rStyle w:val="Hipervnculo"/>
            <w:rFonts w:asciiTheme="minorHAnsi" w:hAnsiTheme="minorHAnsi"/>
            <w:szCs w:val="22"/>
          </w:rPr>
          <w:t>https://orbi.uliege.be/bitstream/2268/169109/1/Minani%20Bonaventure_2014.pdf</w:t>
        </w:r>
      </w:hyperlink>
    </w:p>
    <w:p w14:paraId="11B35D9F" w14:textId="0A4AAC81" w:rsidR="00565591" w:rsidRPr="006F1472" w:rsidRDefault="00565591" w:rsidP="00565591">
      <w:pPr>
        <w:suppressAutoHyphens/>
        <w:ind w:left="709" w:hanging="709"/>
        <w:contextualSpacing/>
        <w:rPr>
          <w:rFonts w:asciiTheme="minorHAnsi" w:hAnsiTheme="minorHAnsi"/>
          <w:szCs w:val="22"/>
          <w:lang w:val="en-US"/>
        </w:rPr>
      </w:pPr>
      <w:r w:rsidRPr="006F1472">
        <w:rPr>
          <w:rFonts w:asciiTheme="minorHAnsi" w:hAnsiTheme="minorHAnsi"/>
          <w:szCs w:val="22"/>
          <w:lang w:val="en-US"/>
        </w:rPr>
        <w:t xml:space="preserve">Nations </w:t>
      </w:r>
      <w:proofErr w:type="spellStart"/>
      <w:r w:rsidRPr="006F1472">
        <w:rPr>
          <w:rFonts w:asciiTheme="minorHAnsi" w:hAnsiTheme="minorHAnsi"/>
          <w:szCs w:val="22"/>
          <w:lang w:val="en-US"/>
        </w:rPr>
        <w:t>Unies</w:t>
      </w:r>
      <w:proofErr w:type="spellEnd"/>
      <w:r w:rsidRPr="006F1472">
        <w:rPr>
          <w:rFonts w:asciiTheme="minorHAnsi" w:hAnsiTheme="minorHAnsi"/>
          <w:szCs w:val="22"/>
          <w:lang w:val="en-US"/>
        </w:rPr>
        <w:t xml:space="preserve">, (2020). </w:t>
      </w:r>
      <w:r w:rsidRPr="006F1472">
        <w:rPr>
          <w:rFonts w:asciiTheme="minorHAnsi" w:hAnsiTheme="minorHAnsi"/>
          <w:i/>
          <w:szCs w:val="22"/>
          <w:lang w:val="en-US"/>
        </w:rPr>
        <w:t>World youth report: youth social entrepreneurship and the 2030 agenda</w:t>
      </w:r>
      <w:r w:rsidRPr="006F1472">
        <w:rPr>
          <w:rFonts w:asciiTheme="minorHAnsi" w:hAnsiTheme="minorHAnsi"/>
          <w:szCs w:val="22"/>
          <w:lang w:val="en-US"/>
        </w:rPr>
        <w:t xml:space="preserve">. Department of Global Communications. </w:t>
      </w:r>
      <w:hyperlink r:id="rId30" w:history="1">
        <w:r w:rsidRPr="006F1472">
          <w:rPr>
            <w:rStyle w:val="Hipervnculo"/>
            <w:rFonts w:asciiTheme="minorHAnsi" w:hAnsiTheme="minorHAnsi"/>
            <w:szCs w:val="22"/>
            <w:lang w:val="en-US"/>
          </w:rPr>
          <w:t>https://www.un.org/development/desa/youth/wp-content/uploads/sites/21/2020/07/2020-World-Youth-Report-FULL-FINAL.pdf</w:t>
        </w:r>
      </w:hyperlink>
    </w:p>
    <w:p w14:paraId="291B47C6" w14:textId="77777777" w:rsidR="00565591" w:rsidRPr="006F1472" w:rsidRDefault="00565591" w:rsidP="00565591">
      <w:pPr>
        <w:ind w:left="709" w:hanging="709"/>
        <w:contextualSpacing/>
        <w:rPr>
          <w:rFonts w:asciiTheme="minorHAnsi" w:hAnsiTheme="minorHAnsi"/>
          <w:szCs w:val="22"/>
          <w:lang w:val="en-US"/>
        </w:rPr>
      </w:pPr>
      <w:r w:rsidRPr="006F1472">
        <w:rPr>
          <w:rFonts w:asciiTheme="minorHAnsi" w:hAnsiTheme="minorHAnsi"/>
          <w:szCs w:val="22"/>
        </w:rPr>
        <w:t xml:space="preserve">OCDE (2019). </w:t>
      </w:r>
      <w:proofErr w:type="spellStart"/>
      <w:r w:rsidRPr="006F1472">
        <w:rPr>
          <w:rFonts w:asciiTheme="minorHAnsi" w:hAnsiTheme="minorHAnsi"/>
          <w:i/>
          <w:szCs w:val="22"/>
        </w:rPr>
        <w:t>Statistiques</w:t>
      </w:r>
      <w:proofErr w:type="spellEnd"/>
      <w:r w:rsidRPr="006F1472">
        <w:rPr>
          <w:rFonts w:asciiTheme="minorHAnsi" w:hAnsiTheme="minorHAnsi"/>
          <w:i/>
          <w:szCs w:val="22"/>
        </w:rPr>
        <w:t xml:space="preserve"> </w:t>
      </w:r>
      <w:proofErr w:type="spellStart"/>
      <w:r w:rsidRPr="006F1472">
        <w:rPr>
          <w:rFonts w:asciiTheme="minorHAnsi" w:hAnsiTheme="minorHAnsi"/>
          <w:i/>
          <w:szCs w:val="22"/>
        </w:rPr>
        <w:t>de l</w:t>
      </w:r>
      <w:proofErr w:type="spellEnd"/>
      <w:r w:rsidRPr="006F1472">
        <w:rPr>
          <w:rFonts w:asciiTheme="minorHAnsi" w:hAnsiTheme="minorHAnsi"/>
          <w:i/>
          <w:szCs w:val="22"/>
        </w:rPr>
        <w:t xml:space="preserve">'OCDE de la </w:t>
      </w:r>
      <w:proofErr w:type="spellStart"/>
      <w:r w:rsidRPr="006F1472">
        <w:rPr>
          <w:rFonts w:asciiTheme="minorHAnsi" w:hAnsiTheme="minorHAnsi"/>
          <w:i/>
          <w:szCs w:val="22"/>
        </w:rPr>
        <w:t>population</w:t>
      </w:r>
      <w:proofErr w:type="spellEnd"/>
      <w:r w:rsidRPr="006F1472">
        <w:rPr>
          <w:rFonts w:asciiTheme="minorHAnsi" w:hAnsiTheme="minorHAnsi"/>
          <w:i/>
          <w:szCs w:val="22"/>
        </w:rPr>
        <w:t xml:space="preserve"> active 2019</w:t>
      </w:r>
      <w:r w:rsidRPr="006F1472">
        <w:rPr>
          <w:rFonts w:asciiTheme="minorHAnsi" w:hAnsiTheme="minorHAnsi"/>
          <w:szCs w:val="22"/>
        </w:rPr>
        <w:t xml:space="preserve">. </w:t>
      </w:r>
      <w:proofErr w:type="spellStart"/>
      <w:r w:rsidRPr="006F1472">
        <w:rPr>
          <w:rFonts w:asciiTheme="minorHAnsi" w:hAnsiTheme="minorHAnsi"/>
          <w:szCs w:val="22"/>
          <w:lang w:val="en-US"/>
        </w:rPr>
        <w:t>Ediciones</w:t>
      </w:r>
      <w:proofErr w:type="spellEnd"/>
      <w:r w:rsidRPr="006F1472">
        <w:rPr>
          <w:rFonts w:asciiTheme="minorHAnsi" w:hAnsiTheme="minorHAnsi"/>
          <w:szCs w:val="22"/>
          <w:lang w:val="en-US"/>
        </w:rPr>
        <w:t xml:space="preserve"> OCDE.</w:t>
      </w:r>
    </w:p>
    <w:p w14:paraId="169D3473" w14:textId="77777777" w:rsidR="00565591" w:rsidRPr="006F1472" w:rsidRDefault="00565591" w:rsidP="00565591">
      <w:pPr>
        <w:ind w:left="709" w:hanging="709"/>
        <w:contextualSpacing/>
        <w:rPr>
          <w:rStyle w:val="Hipervnculo"/>
          <w:rFonts w:asciiTheme="minorHAnsi" w:hAnsiTheme="minorHAnsi"/>
          <w:color w:val="545454"/>
          <w:szCs w:val="22"/>
          <w:lang w:val="en-US"/>
        </w:rPr>
      </w:pPr>
      <w:r w:rsidRPr="006F1472">
        <w:rPr>
          <w:rFonts w:asciiTheme="minorHAnsi" w:hAnsiTheme="minorHAnsi"/>
          <w:szCs w:val="22"/>
          <w:lang w:val="en-US"/>
        </w:rPr>
        <w:t xml:space="preserve">OECD (2017). </w:t>
      </w:r>
      <w:r w:rsidRPr="006F1472">
        <w:rPr>
          <w:rFonts w:asciiTheme="minorHAnsi" w:hAnsiTheme="minorHAnsi"/>
          <w:i/>
          <w:szCs w:val="22"/>
          <w:lang w:val="en-US"/>
        </w:rPr>
        <w:t>Youth Aspirations and the Reality of Jobs in Developing Countries: Mind the Gap</w:t>
      </w:r>
      <w:r w:rsidRPr="006F1472">
        <w:rPr>
          <w:rFonts w:asciiTheme="minorHAnsi" w:hAnsiTheme="minorHAnsi"/>
          <w:szCs w:val="22"/>
          <w:lang w:val="en-US"/>
        </w:rPr>
        <w:t xml:space="preserve">. OECD Publishing. </w:t>
      </w:r>
      <w:r w:rsidRPr="006F1472">
        <w:rPr>
          <w:rFonts w:asciiTheme="minorHAnsi" w:hAnsiTheme="minorHAnsi"/>
          <w:color w:val="545454"/>
          <w:szCs w:val="22"/>
          <w:lang w:val="en-US"/>
        </w:rPr>
        <w:t xml:space="preserve"> </w:t>
      </w:r>
      <w:hyperlink r:id="rId31" w:history="1">
        <w:r w:rsidRPr="006F1472">
          <w:rPr>
            <w:rStyle w:val="Hipervnculo"/>
            <w:rFonts w:asciiTheme="minorHAnsi" w:hAnsiTheme="minorHAnsi"/>
            <w:szCs w:val="22"/>
            <w:lang w:val="en-US"/>
          </w:rPr>
          <w:t>https://www.oecd-ilibrary.org/content/publication/9789264285668-en</w:t>
        </w:r>
      </w:hyperlink>
    </w:p>
    <w:p w14:paraId="27F1D820" w14:textId="77777777" w:rsidR="00565591" w:rsidRPr="006F1472" w:rsidRDefault="00565591" w:rsidP="00565591">
      <w:pPr>
        <w:ind w:left="709" w:hanging="709"/>
        <w:contextualSpacing/>
        <w:rPr>
          <w:rStyle w:val="Hipervnculo"/>
          <w:rFonts w:asciiTheme="minorHAnsi" w:hAnsiTheme="minorHAnsi"/>
          <w:szCs w:val="22"/>
          <w:lang w:val="en-US"/>
        </w:rPr>
      </w:pPr>
      <w:proofErr w:type="spellStart"/>
      <w:r w:rsidRPr="006F1472">
        <w:rPr>
          <w:rFonts w:asciiTheme="minorHAnsi" w:hAnsiTheme="minorHAnsi"/>
          <w:szCs w:val="22"/>
          <w:lang w:val="en-US"/>
        </w:rPr>
        <w:t>Sanginga</w:t>
      </w:r>
      <w:proofErr w:type="spellEnd"/>
      <w:r w:rsidRPr="006F1472">
        <w:rPr>
          <w:rFonts w:asciiTheme="minorHAnsi" w:hAnsiTheme="minorHAnsi"/>
          <w:szCs w:val="22"/>
          <w:lang w:val="en-US"/>
        </w:rPr>
        <w:t xml:space="preserve">, N. (2015). Youth in Agribusiness within an African Agricultural Transformation Agenda. Feeding Africa. </w:t>
      </w:r>
      <w:hyperlink r:id="rId32" w:history="1">
        <w:r w:rsidRPr="006F1472">
          <w:rPr>
            <w:rStyle w:val="Hipervnculo"/>
            <w:rFonts w:asciiTheme="minorHAnsi" w:hAnsiTheme="minorHAnsi"/>
            <w:szCs w:val="22"/>
            <w:lang w:val="en-US"/>
          </w:rPr>
          <w:t>https://www.afdb.org/fileadmin/uploads/afdb/Documents/Events/DakAgri2015/Youth_in_Agribusiness_within_an_African_Agricultural_Transformation_Agenda.pdf</w:t>
        </w:r>
      </w:hyperlink>
    </w:p>
    <w:p w14:paraId="03FD0DE2" w14:textId="6DC88C0E" w:rsidR="00565591" w:rsidRPr="006F1472" w:rsidRDefault="00565591" w:rsidP="00565591">
      <w:pPr>
        <w:ind w:left="709" w:hanging="709"/>
        <w:contextualSpacing/>
        <w:rPr>
          <w:rFonts w:asciiTheme="minorHAnsi" w:hAnsiTheme="minorHAnsi"/>
          <w:color w:val="000000"/>
          <w:szCs w:val="22"/>
          <w:lang w:val="en-US"/>
        </w:rPr>
      </w:pPr>
      <w:proofErr w:type="spellStart"/>
      <w:r w:rsidRPr="006F1472">
        <w:rPr>
          <w:rFonts w:asciiTheme="minorHAnsi" w:hAnsiTheme="minorHAnsi"/>
          <w:color w:val="000000"/>
          <w:szCs w:val="22"/>
          <w:lang w:val="en-US"/>
        </w:rPr>
        <w:t>Sarju</w:t>
      </w:r>
      <w:proofErr w:type="spellEnd"/>
      <w:r w:rsidRPr="006F1472">
        <w:rPr>
          <w:rFonts w:asciiTheme="minorHAnsi" w:hAnsiTheme="minorHAnsi"/>
          <w:color w:val="000000"/>
          <w:szCs w:val="22"/>
          <w:lang w:val="en-US"/>
        </w:rPr>
        <w:t xml:space="preserve">, N., Singh, A.K. &amp; Singh, S. (2015). Perception of farming youth towards farming. </w:t>
      </w:r>
      <w:r w:rsidRPr="006F1472">
        <w:rPr>
          <w:rFonts w:asciiTheme="minorHAnsi" w:hAnsiTheme="minorHAnsi"/>
          <w:i/>
          <w:color w:val="000000"/>
          <w:szCs w:val="22"/>
          <w:lang w:val="en-US"/>
        </w:rPr>
        <w:t>Indian Research Journal of Extension Education 15</w:t>
      </w:r>
      <w:r w:rsidRPr="006F1472">
        <w:rPr>
          <w:rFonts w:asciiTheme="minorHAnsi" w:hAnsiTheme="minorHAnsi"/>
          <w:color w:val="000000"/>
          <w:szCs w:val="22"/>
          <w:lang w:val="en-US"/>
        </w:rPr>
        <w:t xml:space="preserve">(2), 105-109. </w:t>
      </w:r>
      <w:hyperlink r:id="rId33" w:history="1">
        <w:r w:rsidRPr="006F1472">
          <w:rPr>
            <w:rStyle w:val="Hipervnculo"/>
            <w:rFonts w:asciiTheme="minorHAnsi" w:hAnsiTheme="minorHAnsi"/>
            <w:szCs w:val="22"/>
            <w:lang w:val="en-US"/>
          </w:rPr>
          <w:t>http://dx.doi.org/10.18782/2582-2845.8119</w:t>
        </w:r>
      </w:hyperlink>
      <w:r w:rsidRPr="006F1472">
        <w:rPr>
          <w:rFonts w:asciiTheme="minorHAnsi" w:hAnsiTheme="minorHAnsi"/>
          <w:color w:val="000000"/>
          <w:szCs w:val="22"/>
          <w:lang w:val="en-US"/>
        </w:rPr>
        <w:t xml:space="preserve"> </w:t>
      </w:r>
    </w:p>
    <w:p w14:paraId="1E0A4ACE" w14:textId="41B1E1F5" w:rsidR="00565591" w:rsidRPr="006F1472" w:rsidRDefault="00565591" w:rsidP="00565591">
      <w:pPr>
        <w:ind w:left="709" w:hanging="709"/>
        <w:contextualSpacing/>
        <w:rPr>
          <w:rStyle w:val="Hipervnculo"/>
          <w:rFonts w:asciiTheme="minorHAnsi" w:hAnsiTheme="minorHAnsi"/>
          <w:szCs w:val="22"/>
          <w:lang w:val="en-US"/>
        </w:rPr>
      </w:pPr>
      <w:proofErr w:type="spellStart"/>
      <w:r w:rsidRPr="006F1472">
        <w:rPr>
          <w:rFonts w:asciiTheme="minorHAnsi" w:hAnsiTheme="minorHAnsi"/>
          <w:szCs w:val="22"/>
          <w:lang w:val="en-US"/>
        </w:rPr>
        <w:t>Sumberg</w:t>
      </w:r>
      <w:proofErr w:type="spellEnd"/>
      <w:r w:rsidRPr="006F1472">
        <w:rPr>
          <w:rFonts w:asciiTheme="minorHAnsi" w:hAnsiTheme="minorHAnsi"/>
          <w:szCs w:val="22"/>
          <w:lang w:val="en-US"/>
        </w:rPr>
        <w:t xml:space="preserve">, J. (2021).  </w:t>
      </w:r>
      <w:r w:rsidRPr="006F1472">
        <w:rPr>
          <w:rFonts w:asciiTheme="minorHAnsi" w:hAnsiTheme="minorHAnsi"/>
          <w:i/>
          <w:szCs w:val="22"/>
          <w:lang w:val="en-US"/>
        </w:rPr>
        <w:t>Youth and the Rural Economy in Africa: Hard Work and Hazard</w:t>
      </w:r>
      <w:r w:rsidRPr="006F1472">
        <w:rPr>
          <w:rFonts w:asciiTheme="minorHAnsi" w:hAnsiTheme="minorHAnsi"/>
          <w:szCs w:val="22"/>
          <w:lang w:val="en-US"/>
        </w:rPr>
        <w:t xml:space="preserve">.  Centre for Agriculture and Bioscience International. </w:t>
      </w:r>
    </w:p>
    <w:p w14:paraId="0BE4810E" w14:textId="77777777" w:rsidR="00565591" w:rsidRPr="006F1472" w:rsidRDefault="00565591" w:rsidP="00565591">
      <w:pPr>
        <w:ind w:left="709" w:hanging="709"/>
        <w:contextualSpacing/>
        <w:rPr>
          <w:rStyle w:val="Hipervnculo"/>
          <w:rFonts w:asciiTheme="minorHAnsi" w:hAnsiTheme="minorHAnsi"/>
          <w:szCs w:val="22"/>
          <w:lang w:val="en-US"/>
        </w:rPr>
      </w:pPr>
      <w:r w:rsidRPr="006F1472">
        <w:rPr>
          <w:rFonts w:asciiTheme="minorHAnsi" w:hAnsiTheme="minorHAnsi"/>
          <w:color w:val="231F20"/>
          <w:szCs w:val="22"/>
          <w:lang w:val="en-US"/>
        </w:rPr>
        <w:t xml:space="preserve">UNIDO (2011). </w:t>
      </w:r>
      <w:r w:rsidRPr="006F1472">
        <w:rPr>
          <w:rFonts w:asciiTheme="minorHAnsi" w:hAnsiTheme="minorHAnsi"/>
          <w:i/>
          <w:color w:val="231F20"/>
          <w:szCs w:val="22"/>
          <w:lang w:val="en-US"/>
        </w:rPr>
        <w:t>Pro-poor Value Chain Development: 25 guiding questions for designing and implementing agroindustry projects</w:t>
      </w:r>
      <w:r w:rsidRPr="006F1472">
        <w:rPr>
          <w:rFonts w:asciiTheme="minorHAnsi" w:hAnsiTheme="minorHAnsi"/>
          <w:color w:val="231F20"/>
          <w:szCs w:val="22"/>
          <w:lang w:val="en-US"/>
        </w:rPr>
        <w:t xml:space="preserve">. Service de Publication. </w:t>
      </w:r>
      <w:hyperlink r:id="rId34" w:history="1">
        <w:r w:rsidRPr="006F1472">
          <w:rPr>
            <w:rStyle w:val="Hipervnculo"/>
            <w:rFonts w:asciiTheme="minorHAnsi" w:hAnsiTheme="minorHAnsi"/>
            <w:szCs w:val="22"/>
            <w:lang w:val="en-US"/>
          </w:rPr>
          <w:t>https://www.unido.org/sites/default/files/2011-12/Propoor_value_chain_development_2011_0.pdf</w:t>
        </w:r>
      </w:hyperlink>
    </w:p>
    <w:p w14:paraId="58379CBF" w14:textId="77777777" w:rsidR="00565591" w:rsidRPr="006F1472" w:rsidRDefault="00565591" w:rsidP="00565591">
      <w:pPr>
        <w:ind w:left="709" w:hanging="709"/>
        <w:contextualSpacing/>
        <w:rPr>
          <w:rFonts w:asciiTheme="minorHAnsi" w:hAnsiTheme="minorHAnsi"/>
          <w:szCs w:val="22"/>
          <w:lang w:val="en-US"/>
        </w:rPr>
      </w:pPr>
      <w:r w:rsidRPr="006F1472">
        <w:rPr>
          <w:rFonts w:asciiTheme="minorHAnsi" w:hAnsiTheme="minorHAnsi"/>
          <w:color w:val="231F20"/>
          <w:szCs w:val="22"/>
          <w:lang w:val="en-US"/>
        </w:rPr>
        <w:t xml:space="preserve">United Nations Department of Economic and Social Affairs, Population Division (2022). </w:t>
      </w:r>
      <w:r w:rsidRPr="006F1472">
        <w:rPr>
          <w:rFonts w:asciiTheme="minorHAnsi" w:hAnsiTheme="minorHAnsi"/>
          <w:i/>
          <w:color w:val="231F20"/>
          <w:szCs w:val="22"/>
          <w:lang w:val="en-US"/>
        </w:rPr>
        <w:t>World Population</w:t>
      </w:r>
      <w:r w:rsidRPr="006F1472">
        <w:rPr>
          <w:rFonts w:asciiTheme="minorHAnsi" w:hAnsiTheme="minorHAnsi"/>
          <w:color w:val="231F20"/>
          <w:szCs w:val="22"/>
          <w:lang w:val="en-US"/>
        </w:rPr>
        <w:t xml:space="preserve"> </w:t>
      </w:r>
      <w:r w:rsidRPr="006F1472">
        <w:rPr>
          <w:rFonts w:asciiTheme="minorHAnsi" w:hAnsiTheme="minorHAnsi"/>
          <w:i/>
          <w:color w:val="231F20"/>
          <w:szCs w:val="22"/>
          <w:lang w:val="en-US"/>
        </w:rPr>
        <w:t>Prospects 2022: Summary of Results</w:t>
      </w:r>
      <w:r w:rsidRPr="006F1472">
        <w:rPr>
          <w:rFonts w:asciiTheme="minorHAnsi" w:hAnsiTheme="minorHAnsi"/>
          <w:color w:val="231F20"/>
          <w:szCs w:val="22"/>
          <w:lang w:val="en-US"/>
        </w:rPr>
        <w:t>. UN DESA/POP/2022/TR/NO. 3</w:t>
      </w:r>
      <w:r w:rsidRPr="006F1472">
        <w:rPr>
          <w:rFonts w:asciiTheme="minorHAnsi" w:hAnsiTheme="minorHAnsi"/>
          <w:szCs w:val="22"/>
          <w:lang w:val="en-US"/>
        </w:rPr>
        <w:t> </w:t>
      </w:r>
    </w:p>
    <w:p w14:paraId="68854119" w14:textId="77777777" w:rsidR="00565591" w:rsidRPr="006F1472" w:rsidRDefault="00565591" w:rsidP="00565591">
      <w:pPr>
        <w:ind w:left="709" w:hanging="709"/>
        <w:contextualSpacing/>
        <w:rPr>
          <w:rFonts w:asciiTheme="minorHAnsi" w:hAnsiTheme="minorHAnsi"/>
          <w:szCs w:val="22"/>
          <w:lang w:val="en-US"/>
        </w:rPr>
      </w:pPr>
      <w:r w:rsidRPr="006F1472">
        <w:rPr>
          <w:rFonts w:asciiTheme="minorHAnsi" w:hAnsiTheme="minorHAnsi"/>
          <w:szCs w:val="22"/>
          <w:lang w:val="en-US"/>
        </w:rPr>
        <w:t>United Nations Department of Economic and Social Affairs, Population Division (2022). World Population Prospects 2022: Summary of Results. UN DESA/POP/2022/TR/NO. 3.</w:t>
      </w:r>
    </w:p>
    <w:p w14:paraId="5B1F43A2" w14:textId="77777777" w:rsidR="00565591" w:rsidRPr="006F1472" w:rsidRDefault="00565591" w:rsidP="00565591">
      <w:pPr>
        <w:ind w:left="709" w:hanging="709"/>
        <w:contextualSpacing/>
        <w:rPr>
          <w:rFonts w:asciiTheme="minorHAnsi" w:hAnsiTheme="minorHAnsi"/>
          <w:szCs w:val="22"/>
          <w:lang w:val="en-US"/>
        </w:rPr>
      </w:pPr>
      <w:r w:rsidRPr="006F1472">
        <w:rPr>
          <w:rFonts w:asciiTheme="minorHAnsi" w:hAnsiTheme="minorHAnsi"/>
          <w:color w:val="231F20"/>
          <w:szCs w:val="22"/>
          <w:lang w:val="en-US"/>
        </w:rPr>
        <w:t xml:space="preserve">United Nations Department of Economic and Social </w:t>
      </w:r>
      <w:proofErr w:type="spellStart"/>
      <w:r w:rsidRPr="006F1472">
        <w:rPr>
          <w:rFonts w:asciiTheme="minorHAnsi" w:hAnsiTheme="minorHAnsi"/>
          <w:color w:val="231F20"/>
          <w:szCs w:val="22"/>
          <w:lang w:val="en-US"/>
        </w:rPr>
        <w:t>Affirs</w:t>
      </w:r>
      <w:proofErr w:type="spellEnd"/>
      <w:r w:rsidRPr="006F1472">
        <w:rPr>
          <w:rFonts w:asciiTheme="minorHAnsi" w:hAnsiTheme="minorHAnsi"/>
          <w:color w:val="231F20"/>
          <w:szCs w:val="22"/>
          <w:lang w:val="en-US"/>
        </w:rPr>
        <w:t xml:space="preserve">, Population Division (2022). </w:t>
      </w:r>
      <w:r w:rsidRPr="006F1472">
        <w:rPr>
          <w:rFonts w:asciiTheme="minorHAnsi" w:hAnsiTheme="minorHAnsi"/>
          <w:i/>
          <w:color w:val="231F20"/>
          <w:szCs w:val="22"/>
          <w:lang w:val="en-US"/>
        </w:rPr>
        <w:t>World Population</w:t>
      </w:r>
      <w:r w:rsidRPr="006F1472">
        <w:rPr>
          <w:rFonts w:asciiTheme="minorHAnsi" w:hAnsiTheme="minorHAnsi"/>
          <w:color w:val="231F20"/>
          <w:szCs w:val="22"/>
          <w:lang w:val="en-US"/>
        </w:rPr>
        <w:t xml:space="preserve"> </w:t>
      </w:r>
      <w:r w:rsidRPr="006F1472">
        <w:rPr>
          <w:rFonts w:asciiTheme="minorHAnsi" w:hAnsiTheme="minorHAnsi"/>
          <w:i/>
          <w:color w:val="231F20"/>
          <w:szCs w:val="22"/>
          <w:lang w:val="en-US"/>
        </w:rPr>
        <w:t>Prospects 2022: Summary of Results</w:t>
      </w:r>
      <w:r w:rsidRPr="006F1472">
        <w:rPr>
          <w:rFonts w:asciiTheme="minorHAnsi" w:hAnsiTheme="minorHAnsi"/>
          <w:color w:val="231F20"/>
          <w:szCs w:val="22"/>
          <w:lang w:val="en-US"/>
        </w:rPr>
        <w:t>. UN DESA/POP/2022/TR/NO. 3.</w:t>
      </w:r>
    </w:p>
    <w:p w14:paraId="597278BD" w14:textId="77777777" w:rsidR="00565591" w:rsidRPr="006F1472" w:rsidRDefault="00565591" w:rsidP="00565591">
      <w:pPr>
        <w:ind w:left="709" w:hanging="709"/>
        <w:contextualSpacing/>
        <w:rPr>
          <w:rFonts w:asciiTheme="minorHAnsi" w:hAnsiTheme="minorHAnsi"/>
          <w:color w:val="0000FF"/>
          <w:szCs w:val="22"/>
          <w:u w:val="single"/>
          <w:lang w:val="en-US"/>
        </w:rPr>
      </w:pPr>
      <w:r w:rsidRPr="006F1472">
        <w:rPr>
          <w:rFonts w:asciiTheme="minorHAnsi" w:hAnsiTheme="minorHAnsi"/>
          <w:color w:val="231F20"/>
          <w:szCs w:val="22"/>
          <w:lang w:val="en-US"/>
        </w:rPr>
        <w:t xml:space="preserve">Van Fleet, D. (2016). What is Agribusiness? A Visual Description. </w:t>
      </w:r>
      <w:r w:rsidRPr="006F1472">
        <w:rPr>
          <w:rFonts w:asciiTheme="minorHAnsi" w:hAnsiTheme="minorHAnsi"/>
          <w:i/>
          <w:color w:val="231F20"/>
          <w:szCs w:val="22"/>
          <w:lang w:val="en-US"/>
        </w:rPr>
        <w:t>Amity Journal of Agribusiness</w:t>
      </w:r>
      <w:r w:rsidRPr="006F1472">
        <w:rPr>
          <w:rFonts w:asciiTheme="minorHAnsi" w:hAnsiTheme="minorHAnsi"/>
          <w:color w:val="231F20"/>
          <w:szCs w:val="22"/>
          <w:lang w:val="en-US"/>
        </w:rPr>
        <w:t xml:space="preserve">, </w:t>
      </w:r>
      <w:r w:rsidRPr="006F1472">
        <w:rPr>
          <w:rFonts w:asciiTheme="minorHAnsi" w:hAnsiTheme="minorHAnsi"/>
          <w:i/>
          <w:color w:val="231F20"/>
          <w:szCs w:val="22"/>
          <w:lang w:val="en-US"/>
        </w:rPr>
        <w:t>1</w:t>
      </w:r>
      <w:r w:rsidRPr="006F1472">
        <w:rPr>
          <w:rFonts w:asciiTheme="minorHAnsi" w:hAnsiTheme="minorHAnsi"/>
          <w:color w:val="231F20"/>
          <w:szCs w:val="22"/>
          <w:lang w:val="en-US"/>
        </w:rPr>
        <w:t>(1), 1-6</w:t>
      </w:r>
    </w:p>
    <w:p w14:paraId="178ED12A" w14:textId="1DE7EE0F" w:rsidR="00565591" w:rsidRPr="006F1472" w:rsidRDefault="00565591" w:rsidP="00565591">
      <w:pPr>
        <w:ind w:left="709" w:hanging="709"/>
        <w:contextualSpacing/>
        <w:rPr>
          <w:rStyle w:val="Hipervnculo"/>
          <w:rFonts w:asciiTheme="minorHAnsi" w:hAnsiTheme="minorHAnsi"/>
          <w:szCs w:val="22"/>
        </w:rPr>
      </w:pPr>
      <w:proofErr w:type="spellStart"/>
      <w:r w:rsidRPr="006F1472">
        <w:rPr>
          <w:rFonts w:asciiTheme="minorHAnsi" w:hAnsiTheme="minorHAnsi"/>
          <w:szCs w:val="22"/>
          <w:lang w:val="en-US"/>
        </w:rPr>
        <w:t>Vihari</w:t>
      </w:r>
      <w:proofErr w:type="spellEnd"/>
      <w:r w:rsidRPr="006F1472">
        <w:rPr>
          <w:rFonts w:asciiTheme="minorHAnsi" w:hAnsiTheme="minorHAnsi"/>
          <w:szCs w:val="22"/>
          <w:lang w:val="en-US"/>
        </w:rPr>
        <w:t xml:space="preserve">, M. A., Rao, M. S. &amp; Gopi Krishna, T. (2020). Perception of Rural Youth towards Agriculture as an Occupation in Srikakulam District, </w:t>
      </w:r>
      <w:r w:rsidRPr="006F1472">
        <w:rPr>
          <w:rFonts w:asciiTheme="minorHAnsi" w:hAnsiTheme="minorHAnsi"/>
          <w:i/>
          <w:szCs w:val="22"/>
          <w:lang w:val="en-US"/>
        </w:rPr>
        <w:t xml:space="preserve">Ind. J. Pure App. </w:t>
      </w:r>
      <w:proofErr w:type="spellStart"/>
      <w:r w:rsidRPr="006F1472">
        <w:rPr>
          <w:rFonts w:asciiTheme="minorHAnsi" w:hAnsiTheme="minorHAnsi"/>
          <w:i/>
          <w:szCs w:val="22"/>
        </w:rPr>
        <w:t>Biosci</w:t>
      </w:r>
      <w:proofErr w:type="spellEnd"/>
      <w:r w:rsidRPr="006F1472">
        <w:rPr>
          <w:rFonts w:asciiTheme="minorHAnsi" w:hAnsiTheme="minorHAnsi"/>
          <w:i/>
          <w:szCs w:val="22"/>
        </w:rPr>
        <w:t>, 8</w:t>
      </w:r>
      <w:r w:rsidRPr="006F1472">
        <w:rPr>
          <w:rFonts w:asciiTheme="minorHAnsi" w:hAnsiTheme="minorHAnsi"/>
          <w:szCs w:val="22"/>
        </w:rPr>
        <w:t xml:space="preserve">(6), 88-89. </w:t>
      </w:r>
      <w:hyperlink r:id="rId35" w:history="1">
        <w:r w:rsidRPr="006F1472">
          <w:rPr>
            <w:rStyle w:val="Hipervnculo"/>
            <w:rFonts w:asciiTheme="minorHAnsi" w:hAnsiTheme="minorHAnsi"/>
            <w:szCs w:val="22"/>
          </w:rPr>
          <w:t>http://dx.doi.org/10.18782/2582-2845.8119</w:t>
        </w:r>
      </w:hyperlink>
    </w:p>
    <w:p w14:paraId="5CFAFE50" w14:textId="77777777" w:rsidR="00565591" w:rsidRPr="006F1472" w:rsidRDefault="00565591" w:rsidP="00565591">
      <w:pPr>
        <w:ind w:left="709" w:hanging="709"/>
        <w:contextualSpacing/>
        <w:rPr>
          <w:rStyle w:val="Hipervnculo"/>
          <w:rFonts w:asciiTheme="minorHAnsi" w:hAnsiTheme="minorHAnsi"/>
          <w:szCs w:val="22"/>
        </w:rPr>
      </w:pPr>
      <w:proofErr w:type="spellStart"/>
      <w:r w:rsidRPr="006F1472">
        <w:rPr>
          <w:rFonts w:asciiTheme="minorHAnsi" w:hAnsiTheme="minorHAnsi"/>
          <w:szCs w:val="22"/>
        </w:rPr>
        <w:t>Yeboah</w:t>
      </w:r>
      <w:proofErr w:type="spellEnd"/>
      <w:r w:rsidRPr="006F1472">
        <w:rPr>
          <w:rFonts w:asciiTheme="minorHAnsi" w:hAnsiTheme="minorHAnsi"/>
          <w:szCs w:val="22"/>
        </w:rPr>
        <w:t xml:space="preserve">, F. K. &amp; </w:t>
      </w:r>
      <w:proofErr w:type="spellStart"/>
      <w:r w:rsidRPr="006F1472">
        <w:rPr>
          <w:rFonts w:asciiTheme="minorHAnsi" w:hAnsiTheme="minorHAnsi"/>
          <w:szCs w:val="22"/>
        </w:rPr>
        <w:t>Jayne</w:t>
      </w:r>
      <w:proofErr w:type="spellEnd"/>
      <w:r w:rsidRPr="006F1472">
        <w:rPr>
          <w:rFonts w:asciiTheme="minorHAnsi" w:hAnsiTheme="minorHAnsi"/>
          <w:szCs w:val="22"/>
        </w:rPr>
        <w:t xml:space="preserve">, T. S. (2018). </w:t>
      </w:r>
      <w:r w:rsidRPr="006F1472">
        <w:rPr>
          <w:rFonts w:asciiTheme="minorHAnsi" w:hAnsiTheme="minorHAnsi"/>
          <w:szCs w:val="22"/>
          <w:lang w:val="en-US"/>
        </w:rPr>
        <w:t xml:space="preserve">Africa’s Evolving Employment Trends. </w:t>
      </w:r>
      <w:r w:rsidRPr="006F1472">
        <w:rPr>
          <w:rFonts w:asciiTheme="minorHAnsi" w:hAnsiTheme="minorHAnsi"/>
          <w:i/>
          <w:szCs w:val="22"/>
          <w:lang w:val="en-US"/>
        </w:rPr>
        <w:t>The Journal of Development</w:t>
      </w:r>
      <w:r w:rsidRPr="006F1472">
        <w:rPr>
          <w:rFonts w:asciiTheme="minorHAnsi" w:hAnsiTheme="minorHAnsi"/>
          <w:szCs w:val="22"/>
          <w:lang w:val="en-US"/>
        </w:rPr>
        <w:t xml:space="preserve"> </w:t>
      </w:r>
      <w:r w:rsidRPr="006F1472">
        <w:rPr>
          <w:rFonts w:asciiTheme="minorHAnsi" w:hAnsiTheme="minorHAnsi"/>
          <w:i/>
          <w:szCs w:val="22"/>
          <w:lang w:val="en-US"/>
        </w:rPr>
        <w:t>Studies</w:t>
      </w:r>
      <w:r w:rsidRPr="006F1472">
        <w:rPr>
          <w:rFonts w:asciiTheme="minorHAnsi" w:hAnsiTheme="minorHAnsi"/>
          <w:szCs w:val="22"/>
          <w:lang w:val="en-US"/>
        </w:rPr>
        <w:t xml:space="preserve">, </w:t>
      </w:r>
      <w:r w:rsidRPr="006F1472">
        <w:rPr>
          <w:rFonts w:asciiTheme="minorHAnsi" w:hAnsiTheme="minorHAnsi"/>
          <w:i/>
          <w:szCs w:val="22"/>
          <w:lang w:val="en-US"/>
        </w:rPr>
        <w:t>54</w:t>
      </w:r>
      <w:r w:rsidRPr="006F1472">
        <w:rPr>
          <w:rFonts w:asciiTheme="minorHAnsi" w:hAnsiTheme="minorHAnsi"/>
          <w:szCs w:val="22"/>
          <w:lang w:val="en-US"/>
        </w:rPr>
        <w:t xml:space="preserve">(5), 803-832. </w:t>
      </w:r>
      <w:hyperlink r:id="rId36" w:history="1">
        <w:r w:rsidRPr="006F1472">
          <w:rPr>
            <w:rStyle w:val="Hipervnculo"/>
            <w:rFonts w:asciiTheme="minorHAnsi" w:hAnsiTheme="minorHAnsi"/>
            <w:szCs w:val="22"/>
          </w:rPr>
          <w:t>https://doi.org/10.1080/00220388.2018.1430767</w:t>
        </w:r>
      </w:hyperlink>
    </w:p>
    <w:p w14:paraId="23FB3CE6" w14:textId="77777777" w:rsidR="00565591" w:rsidRPr="006F1472" w:rsidRDefault="00565591" w:rsidP="00565591">
      <w:pPr>
        <w:ind w:left="709" w:hanging="709"/>
        <w:contextualSpacing/>
        <w:rPr>
          <w:rFonts w:asciiTheme="minorHAnsi" w:hAnsiTheme="minorHAnsi"/>
          <w:color w:val="0000FF"/>
          <w:szCs w:val="22"/>
          <w:u w:val="single"/>
        </w:rPr>
      </w:pPr>
      <w:proofErr w:type="spellStart"/>
      <w:r w:rsidRPr="006F1472">
        <w:rPr>
          <w:rFonts w:asciiTheme="minorHAnsi" w:hAnsiTheme="minorHAnsi"/>
          <w:szCs w:val="22"/>
        </w:rPr>
        <w:t>Zipin</w:t>
      </w:r>
      <w:proofErr w:type="spellEnd"/>
      <w:r w:rsidRPr="006F1472">
        <w:rPr>
          <w:rFonts w:asciiTheme="minorHAnsi" w:hAnsiTheme="minorHAnsi"/>
          <w:szCs w:val="22"/>
        </w:rPr>
        <w:t xml:space="preserve">, L., Sellar, S., Brennan, M. y Gale, T. (2015). </w:t>
      </w:r>
      <w:r w:rsidRPr="006F1472">
        <w:rPr>
          <w:rFonts w:asciiTheme="minorHAnsi" w:hAnsiTheme="minorHAnsi"/>
          <w:szCs w:val="22"/>
          <w:lang w:val="en-US"/>
        </w:rPr>
        <w:t xml:space="preserve">Educating for Futures in Marginalized Regions: A Sociological Framework for Rethinking and Researching Aspirations.  </w:t>
      </w:r>
      <w:proofErr w:type="spellStart"/>
      <w:r w:rsidRPr="006F1472">
        <w:rPr>
          <w:rFonts w:asciiTheme="minorHAnsi" w:hAnsiTheme="minorHAnsi"/>
          <w:i/>
          <w:szCs w:val="22"/>
        </w:rPr>
        <w:t>Educational</w:t>
      </w:r>
      <w:proofErr w:type="spellEnd"/>
      <w:r w:rsidRPr="006F1472">
        <w:rPr>
          <w:rFonts w:asciiTheme="minorHAnsi" w:hAnsiTheme="minorHAnsi"/>
          <w:i/>
          <w:szCs w:val="22"/>
        </w:rPr>
        <w:t xml:space="preserve"> </w:t>
      </w:r>
      <w:proofErr w:type="spellStart"/>
      <w:r w:rsidRPr="006F1472">
        <w:rPr>
          <w:rFonts w:asciiTheme="minorHAnsi" w:hAnsiTheme="minorHAnsi"/>
          <w:i/>
          <w:szCs w:val="22"/>
        </w:rPr>
        <w:t>Philosophyand</w:t>
      </w:r>
      <w:proofErr w:type="spellEnd"/>
      <w:r w:rsidRPr="006F1472">
        <w:rPr>
          <w:rFonts w:asciiTheme="minorHAnsi" w:hAnsiTheme="minorHAnsi"/>
          <w:i/>
          <w:szCs w:val="22"/>
        </w:rPr>
        <w:t xml:space="preserve"> </w:t>
      </w:r>
      <w:proofErr w:type="spellStart"/>
      <w:r w:rsidRPr="006F1472">
        <w:rPr>
          <w:rFonts w:asciiTheme="minorHAnsi" w:hAnsiTheme="minorHAnsi"/>
          <w:i/>
          <w:szCs w:val="22"/>
        </w:rPr>
        <w:t>Theory</w:t>
      </w:r>
      <w:proofErr w:type="spellEnd"/>
      <w:r w:rsidRPr="006F1472">
        <w:rPr>
          <w:rFonts w:asciiTheme="minorHAnsi" w:hAnsiTheme="minorHAnsi"/>
          <w:szCs w:val="22"/>
        </w:rPr>
        <w:t xml:space="preserve">, </w:t>
      </w:r>
      <w:r w:rsidRPr="006F1472">
        <w:rPr>
          <w:rFonts w:asciiTheme="minorHAnsi" w:hAnsiTheme="minorHAnsi"/>
          <w:i/>
          <w:szCs w:val="22"/>
        </w:rPr>
        <w:t>47</w:t>
      </w:r>
      <w:r w:rsidRPr="006F1472">
        <w:rPr>
          <w:rFonts w:asciiTheme="minorHAnsi" w:hAnsiTheme="minorHAnsi"/>
          <w:szCs w:val="22"/>
        </w:rPr>
        <w:t xml:space="preserve">(3), 227–246. </w:t>
      </w:r>
      <w:hyperlink r:id="rId37" w:history="1">
        <w:r w:rsidRPr="006F1472">
          <w:rPr>
            <w:rStyle w:val="Hipervnculo"/>
            <w:rFonts w:asciiTheme="minorHAnsi" w:hAnsiTheme="minorHAnsi"/>
            <w:szCs w:val="22"/>
          </w:rPr>
          <w:t>https://doi.org/10.1080/00131857.2013.839376</w:t>
        </w:r>
      </w:hyperlink>
    </w:p>
    <w:p w14:paraId="7F04D86F" w14:textId="2DE83DA2" w:rsidR="004F2C3C" w:rsidRPr="00565591" w:rsidRDefault="004F2C3C" w:rsidP="00565591">
      <w:pPr>
        <w:ind w:firstLine="709"/>
        <w:rPr>
          <w:rFonts w:asciiTheme="minorHAnsi" w:eastAsia="Cambria" w:hAnsiTheme="minorHAnsi" w:cs="Cambria"/>
          <w:color w:val="3366FF"/>
          <w:sz w:val="24"/>
        </w:rPr>
      </w:pPr>
    </w:p>
    <w:p w14:paraId="4EB29BC2" w14:textId="77777777" w:rsidR="004F2C3C" w:rsidRPr="00565591" w:rsidRDefault="004F2C3C" w:rsidP="001B45D2">
      <w:pPr>
        <w:ind w:firstLine="0"/>
        <w:rPr>
          <w:rFonts w:asciiTheme="minorHAnsi" w:eastAsia="Cambria" w:hAnsiTheme="minorHAnsi" w:cs="Cambria"/>
          <w:color w:val="3366FF"/>
          <w:sz w:val="24"/>
        </w:rPr>
      </w:pPr>
    </w:p>
    <w:sectPr w:rsidR="004F2C3C" w:rsidRPr="00565591" w:rsidSect="00A407E5">
      <w:headerReference w:type="even" r:id="rId38"/>
      <w:headerReference w:type="default" r:id="rId39"/>
      <w:footerReference w:type="even" r:id="rId40"/>
      <w:footerReference w:type="default" r:id="rId41"/>
      <w:headerReference w:type="first" r:id="rId42"/>
      <w:footerReference w:type="first" r:id="rId43"/>
      <w:footnotePr>
        <w:numFmt w:val="lowerLetter"/>
      </w:footnotePr>
      <w:type w:val="continuous"/>
      <w:pgSz w:w="11906" w:h="16838"/>
      <w:pgMar w:top="1134" w:right="1418" w:bottom="1418" w:left="1418" w:header="709" w:footer="709" w:gutter="0"/>
      <w:pgNumType w:start="4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1250C" w14:textId="77777777" w:rsidR="00007D9B" w:rsidRDefault="00007D9B">
      <w:r>
        <w:separator/>
      </w:r>
    </w:p>
  </w:endnote>
  <w:endnote w:type="continuationSeparator" w:id="0">
    <w:p w14:paraId="450D105E" w14:textId="77777777" w:rsidR="00007D9B" w:rsidRDefault="0000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57520460"/>
      <w:docPartObj>
        <w:docPartGallery w:val="Page Numbers (Bottom of Page)"/>
        <w:docPartUnique/>
      </w:docPartObj>
    </w:sdtPr>
    <w:sdtEndPr>
      <w:rPr>
        <w:rStyle w:val="Nmerodepgina"/>
        <w:rFonts w:asciiTheme="minorHAnsi" w:hAnsiTheme="minorHAnsi"/>
        <w:b/>
        <w:sz w:val="24"/>
      </w:rPr>
    </w:sdtEndPr>
    <w:sdtContent>
      <w:p w14:paraId="73A3DF55" w14:textId="166416F7" w:rsidR="0088741B" w:rsidRPr="0088741B" w:rsidRDefault="0088741B" w:rsidP="00E81303">
        <w:pPr>
          <w:pStyle w:val="Piedepgina"/>
          <w:framePr w:wrap="none" w:vAnchor="text" w:hAnchor="page" w:x="5481" w:y="38"/>
          <w:spacing w:before="120"/>
          <w:rPr>
            <w:rStyle w:val="Nmerodepgina"/>
            <w:rFonts w:asciiTheme="minorHAnsi" w:hAnsiTheme="minorHAnsi"/>
            <w:b/>
            <w:sz w:val="24"/>
          </w:rPr>
        </w:pPr>
        <w:r w:rsidRPr="0088741B">
          <w:rPr>
            <w:rStyle w:val="Nmerodepgina"/>
            <w:rFonts w:asciiTheme="minorHAnsi" w:hAnsiTheme="minorHAnsi"/>
            <w:b/>
            <w:sz w:val="24"/>
          </w:rPr>
          <w:fldChar w:fldCharType="begin"/>
        </w:r>
        <w:r w:rsidRPr="0088741B">
          <w:rPr>
            <w:rStyle w:val="Nmerodepgina"/>
            <w:rFonts w:asciiTheme="minorHAnsi" w:hAnsiTheme="minorHAnsi"/>
            <w:b/>
            <w:sz w:val="24"/>
          </w:rPr>
          <w:instrText xml:space="preserve"> PAGE </w:instrText>
        </w:r>
        <w:r w:rsidRPr="0088741B">
          <w:rPr>
            <w:rStyle w:val="Nmerodepgina"/>
            <w:rFonts w:asciiTheme="minorHAnsi" w:hAnsiTheme="minorHAnsi"/>
            <w:b/>
            <w:sz w:val="24"/>
          </w:rPr>
          <w:fldChar w:fldCharType="separate"/>
        </w:r>
        <w:r w:rsidR="0065646C">
          <w:rPr>
            <w:rStyle w:val="Nmerodepgina"/>
            <w:rFonts w:asciiTheme="minorHAnsi" w:hAnsiTheme="minorHAnsi"/>
            <w:b/>
            <w:noProof/>
            <w:sz w:val="24"/>
          </w:rPr>
          <w:t>58</w:t>
        </w:r>
        <w:r w:rsidRPr="0088741B">
          <w:rPr>
            <w:rStyle w:val="Nmerodepgina"/>
            <w:rFonts w:asciiTheme="minorHAnsi" w:hAnsiTheme="minorHAnsi"/>
            <w:b/>
            <w:sz w:val="24"/>
          </w:rPr>
          <w:fldChar w:fldCharType="end"/>
        </w:r>
      </w:p>
    </w:sdtContent>
  </w:sdt>
  <w:p w14:paraId="1FC07535" w14:textId="0186B0BD" w:rsidR="00DD7ADF" w:rsidRPr="0088741B" w:rsidRDefault="00DD7ADF" w:rsidP="00E81303">
    <w:pPr>
      <w:tabs>
        <w:tab w:val="right" w:pos="9638"/>
      </w:tabs>
      <w:spacing w:before="120"/>
      <w:ind w:firstLine="0"/>
      <w:rPr>
        <w:rFonts w:asciiTheme="minorHAnsi" w:eastAsia="Times New Roman" w:hAnsiTheme="minorHAnsi" w:cs="Times New Roman"/>
        <w:b/>
        <w:sz w:val="24"/>
      </w:rPr>
    </w:pPr>
  </w:p>
  <w:p w14:paraId="30385498" w14:textId="0B7ECAFA" w:rsidR="00361B7E" w:rsidRPr="00361B7E" w:rsidRDefault="00361B7E" w:rsidP="0088741B">
    <w:pPr>
      <w:tabs>
        <w:tab w:val="right" w:pos="9638"/>
      </w:tabs>
      <w:spacing w:before="120"/>
      <w:ind w:firstLine="0"/>
      <w:jc w:val="center"/>
      <w:rPr>
        <w:rFonts w:asciiTheme="minorHAnsi" w:eastAsia="Times New Roman" w:hAnsiTheme="minorHAnsi" w:cs="Times New Roman"/>
        <w:b/>
        <w:sz w:val="16"/>
        <w:szCs w:val="16"/>
      </w:rPr>
    </w:pPr>
    <w:r>
      <w:rPr>
        <w:rFonts w:asciiTheme="minorHAnsi" w:hAnsiTheme="minorHAnsi"/>
        <w:sz w:val="16"/>
      </w:rPr>
      <w:t>(2024) PDM,</w:t>
    </w:r>
    <w:r>
      <w:rPr>
        <w:rFonts w:asciiTheme="minorHAnsi" w:hAnsiTheme="minorHAnsi"/>
        <w:i/>
        <w:sz w:val="16"/>
      </w:rPr>
      <w:t xml:space="preserve"> 6</w:t>
    </w:r>
    <w:r>
      <w:rPr>
        <w:rFonts w:asciiTheme="minorHAnsi" w:hAnsiTheme="minorHAnsi"/>
        <w:sz w:val="16"/>
      </w:rPr>
      <w:t>(1), 41-56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Fonts w:asciiTheme="minorHAnsi" w:hAnsiTheme="minorHAnsi"/>
        <w:b/>
        <w:sz w:val="24"/>
      </w:rPr>
      <w:id w:val="2068383179"/>
      <w:docPartObj>
        <w:docPartGallery w:val="Page Numbers (Bottom of Page)"/>
        <w:docPartUnique/>
      </w:docPartObj>
    </w:sdtPr>
    <w:sdtContent>
      <w:p w14:paraId="18D1C817" w14:textId="047EF15A" w:rsidR="0088741B" w:rsidRPr="0088741B" w:rsidRDefault="0088741B" w:rsidP="0088741B">
        <w:pPr>
          <w:pStyle w:val="Piedepgina"/>
          <w:framePr w:wrap="none" w:vAnchor="text" w:hAnchor="margin" w:xAlign="center" w:y="1"/>
          <w:spacing w:before="120"/>
          <w:rPr>
            <w:rStyle w:val="Nmerodepgina"/>
            <w:rFonts w:asciiTheme="minorHAnsi" w:hAnsiTheme="minorHAnsi"/>
            <w:b/>
            <w:sz w:val="24"/>
          </w:rPr>
        </w:pPr>
        <w:r w:rsidRPr="0088741B">
          <w:rPr>
            <w:rStyle w:val="Nmerodepgina"/>
            <w:rFonts w:asciiTheme="minorHAnsi" w:hAnsiTheme="minorHAnsi"/>
            <w:b/>
            <w:sz w:val="24"/>
          </w:rPr>
          <w:fldChar w:fldCharType="begin"/>
        </w:r>
        <w:r w:rsidRPr="0088741B">
          <w:rPr>
            <w:rStyle w:val="Nmerodepgina"/>
            <w:rFonts w:asciiTheme="minorHAnsi" w:hAnsiTheme="minorHAnsi"/>
            <w:b/>
            <w:sz w:val="24"/>
          </w:rPr>
          <w:instrText xml:space="preserve"> PAGE </w:instrText>
        </w:r>
        <w:r w:rsidRPr="0088741B">
          <w:rPr>
            <w:rStyle w:val="Nmerodepgina"/>
            <w:rFonts w:asciiTheme="minorHAnsi" w:hAnsiTheme="minorHAnsi"/>
            <w:b/>
            <w:sz w:val="24"/>
          </w:rPr>
          <w:fldChar w:fldCharType="separate"/>
        </w:r>
        <w:r w:rsidR="0065646C">
          <w:rPr>
            <w:rStyle w:val="Nmerodepgina"/>
            <w:rFonts w:asciiTheme="minorHAnsi" w:hAnsiTheme="minorHAnsi"/>
            <w:b/>
            <w:noProof/>
            <w:sz w:val="24"/>
          </w:rPr>
          <w:t>57</w:t>
        </w:r>
        <w:r w:rsidRPr="0088741B">
          <w:rPr>
            <w:rStyle w:val="Nmerodepgina"/>
            <w:rFonts w:asciiTheme="minorHAnsi" w:hAnsiTheme="minorHAnsi"/>
            <w:b/>
            <w:sz w:val="24"/>
          </w:rPr>
          <w:fldChar w:fldCharType="end"/>
        </w:r>
      </w:p>
    </w:sdtContent>
  </w:sdt>
  <w:p w14:paraId="223E2733" w14:textId="77777777" w:rsidR="00437D69" w:rsidRDefault="00437D69" w:rsidP="0088741B">
    <w:pPr>
      <w:pStyle w:val="Piedepgina"/>
      <w:spacing w:before="120"/>
      <w:jc w:val="center"/>
      <w:rPr>
        <w:rFonts w:asciiTheme="minorHAnsi" w:eastAsia="Times New Roman" w:hAnsiTheme="minorHAnsi" w:cs="Times New Roman"/>
        <w:sz w:val="16"/>
        <w:szCs w:val="16"/>
      </w:rPr>
    </w:pPr>
  </w:p>
  <w:p w14:paraId="1AB4061E" w14:textId="310BF67B" w:rsidR="00DD7ADF" w:rsidRPr="00361B7E" w:rsidRDefault="00361B7E" w:rsidP="0088741B">
    <w:pPr>
      <w:pStyle w:val="Piedepgina"/>
      <w:spacing w:before="120"/>
      <w:jc w:val="center"/>
      <w:rPr>
        <w:sz w:val="16"/>
        <w:szCs w:val="16"/>
      </w:rPr>
    </w:pPr>
    <w:r>
      <w:rPr>
        <w:rFonts w:asciiTheme="minorHAnsi" w:hAnsiTheme="minorHAnsi"/>
        <w:sz w:val="16"/>
      </w:rPr>
      <w:t>(2024) PDM,</w:t>
    </w:r>
    <w:r>
      <w:rPr>
        <w:rFonts w:asciiTheme="minorHAnsi" w:hAnsiTheme="minorHAnsi"/>
        <w:i/>
        <w:sz w:val="16"/>
      </w:rPr>
      <w:t xml:space="preserve"> 6</w:t>
    </w:r>
    <w:r>
      <w:rPr>
        <w:rFonts w:asciiTheme="minorHAnsi" w:hAnsiTheme="minorHAnsi"/>
        <w:sz w:val="16"/>
      </w:rPr>
      <w:t>(1), 41-56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4BA7" w14:textId="31C2349F" w:rsidR="00DD7ADF" w:rsidRDefault="00DD7ADF" w:rsidP="004F2C3C">
    <w:pPr>
      <w:ind w:firstLine="0"/>
      <w:jc w:val="center"/>
    </w:pPr>
  </w:p>
  <w:p w14:paraId="1B2831FC" w14:textId="1EFF4F20" w:rsidR="004F2C3C" w:rsidRPr="004F2C3C" w:rsidRDefault="00BD6798" w:rsidP="004F2C3C">
    <w:pPr>
      <w:tabs>
        <w:tab w:val="right" w:pos="9638"/>
      </w:tabs>
      <w:spacing w:before="120"/>
      <w:ind w:firstLine="0"/>
      <w:jc w:val="center"/>
      <w:rPr>
        <w:rFonts w:asciiTheme="minorHAnsi" w:eastAsia="Times New Roman" w:hAnsiTheme="minorHAnsi" w:cs="Times New Roman"/>
        <w:b/>
        <w:sz w:val="16"/>
        <w:szCs w:val="16"/>
      </w:rPr>
    </w:pPr>
    <w:r>
      <w:rPr>
        <w:rFonts w:asciiTheme="minorHAnsi" w:hAnsiTheme="minorHAnsi"/>
        <w:sz w:val="16"/>
      </w:rPr>
      <w:t>PDM,</w:t>
    </w:r>
    <w:r>
      <w:rPr>
        <w:rFonts w:asciiTheme="minorHAnsi" w:hAnsiTheme="minorHAnsi"/>
        <w:i/>
        <w:sz w:val="16"/>
      </w:rPr>
      <w:t xml:space="preserve"> 6</w:t>
    </w:r>
    <w:r>
      <w:rPr>
        <w:rFonts w:asciiTheme="minorHAnsi" w:hAnsiTheme="minorHAnsi"/>
        <w:sz w:val="16"/>
      </w:rPr>
      <w:t>(1), 41-56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7B246" w14:textId="77777777" w:rsidR="00007D9B" w:rsidRDefault="00007D9B">
      <w:r>
        <w:separator/>
      </w:r>
    </w:p>
  </w:footnote>
  <w:footnote w:type="continuationSeparator" w:id="0">
    <w:p w14:paraId="7EB90624" w14:textId="77777777" w:rsidR="00007D9B" w:rsidRDefault="00007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EBDD" w14:textId="3D932281" w:rsidR="00DD7ADF" w:rsidRPr="00565591" w:rsidRDefault="00565591">
    <w:pPr>
      <w:pBdr>
        <w:top w:val="nil"/>
        <w:left w:val="nil"/>
        <w:bottom w:val="nil"/>
        <w:right w:val="nil"/>
        <w:between w:val="nil"/>
      </w:pBdr>
      <w:tabs>
        <w:tab w:val="center" w:pos="4252"/>
        <w:tab w:val="right" w:pos="8504"/>
      </w:tabs>
      <w:ind w:firstLine="0"/>
      <w:jc w:val="center"/>
      <w:rPr>
        <w:rFonts w:asciiTheme="minorHAnsi" w:eastAsia="Times New Roman" w:hAnsiTheme="minorHAnsi" w:cs="Times New Roman"/>
        <w:i/>
        <w:color w:val="000000"/>
        <w:sz w:val="16"/>
        <w:szCs w:val="16"/>
      </w:rPr>
    </w:pPr>
    <w:proofErr w:type="spellStart"/>
    <w:r>
      <w:rPr>
        <w:rFonts w:asciiTheme="minorHAnsi" w:hAnsiTheme="minorHAnsi"/>
        <w:i/>
        <w:color w:val="000000"/>
        <w:sz w:val="16"/>
      </w:rPr>
      <w:t>Cirhuza</w:t>
    </w:r>
    <w:proofErr w:type="spellEnd"/>
    <w:r>
      <w:rPr>
        <w:rFonts w:asciiTheme="minorHAnsi" w:hAnsiTheme="minorHAnsi"/>
        <w:i/>
        <w:color w:val="000000"/>
        <w:sz w:val="16"/>
      </w:rPr>
      <w:t xml:space="preserve"> </w:t>
    </w:r>
    <w:proofErr w:type="spellStart"/>
    <w:r>
      <w:rPr>
        <w:rFonts w:asciiTheme="minorHAnsi" w:hAnsiTheme="minorHAnsi"/>
        <w:i/>
        <w:color w:val="000000"/>
        <w:sz w:val="16"/>
      </w:rPr>
      <w:t>Mwolo</w:t>
    </w:r>
    <w:proofErr w:type="spellEnd"/>
    <w:r>
      <w:rPr>
        <w:rFonts w:asciiTheme="minorHAnsi" w:hAnsiTheme="minorHAnsi"/>
        <w:i/>
        <w:color w:val="000000"/>
        <w:sz w:val="16"/>
      </w:rPr>
      <w:t xml:space="preserve"> &amp; Martínez Espinosa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94AF" w14:textId="693F40FA" w:rsidR="00AF1B97" w:rsidRPr="0065646C" w:rsidRDefault="00565591" w:rsidP="00AF1B97">
    <w:pPr>
      <w:pBdr>
        <w:top w:val="nil"/>
        <w:left w:val="nil"/>
        <w:bottom w:val="nil"/>
        <w:right w:val="nil"/>
        <w:between w:val="nil"/>
      </w:pBdr>
      <w:tabs>
        <w:tab w:val="center" w:pos="4252"/>
        <w:tab w:val="right" w:pos="8504"/>
      </w:tabs>
      <w:ind w:firstLine="0"/>
      <w:jc w:val="center"/>
      <w:rPr>
        <w:rFonts w:asciiTheme="minorHAnsi" w:eastAsia="Times New Roman" w:hAnsiTheme="minorHAnsi" w:cs="Times New Roman"/>
        <w:i/>
        <w:color w:val="000000"/>
        <w:sz w:val="16"/>
        <w:szCs w:val="16"/>
        <w:lang w:val="en-US"/>
      </w:rPr>
    </w:pPr>
    <w:r w:rsidRPr="0065646C">
      <w:rPr>
        <w:rFonts w:asciiTheme="minorHAnsi" w:hAnsiTheme="minorHAnsi"/>
        <w:i/>
        <w:color w:val="000000"/>
        <w:sz w:val="16"/>
        <w:lang w:val="en-US"/>
      </w:rPr>
      <w:t>Attitudes and perceptions of rural youth towards agribusiness as a profession in a post-conflict context</w:t>
    </w:r>
  </w:p>
  <w:p w14:paraId="31A33D87" w14:textId="20EF84FD" w:rsidR="00DD7ADF" w:rsidRPr="0065646C" w:rsidRDefault="00DD7ADF">
    <w:pPr>
      <w:pBdr>
        <w:top w:val="nil"/>
        <w:left w:val="nil"/>
        <w:bottom w:val="nil"/>
        <w:right w:val="nil"/>
        <w:between w:val="nil"/>
      </w:pBdr>
      <w:tabs>
        <w:tab w:val="center" w:pos="4252"/>
        <w:tab w:val="right" w:pos="8504"/>
      </w:tabs>
      <w:ind w:firstLine="0"/>
      <w:jc w:val="center"/>
      <w:rPr>
        <w:rFonts w:asciiTheme="minorHAnsi" w:eastAsia="Times New Roman" w:hAnsiTheme="minorHAnsi" w:cs="Times New Roman"/>
        <w:i/>
        <w:smallCaps/>
        <w:color w:val="000000"/>
        <w:sz w:val="16"/>
        <w:szCs w:val="16"/>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35B6" w14:textId="77777777" w:rsidR="00DD7ADF" w:rsidRDefault="0091628F">
    <w:pPr>
      <w:tabs>
        <w:tab w:val="right" w:pos="8505"/>
      </w:tabs>
      <w:ind w:firstLine="0"/>
      <w:rPr>
        <w:rFonts w:ascii="Times New Roman" w:eastAsia="Times New Roman" w:hAnsi="Times New Roman" w:cs="Times New Roman"/>
      </w:rPr>
    </w:pPr>
    <w:r>
      <w:rPr>
        <w:rFonts w:ascii="Times New Roman" w:hAnsi="Times New Roman"/>
        <w:color w:val="000000"/>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7291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4660A"/>
    <w:multiLevelType w:val="multilevel"/>
    <w:tmpl w:val="6EB45BD4"/>
    <w:lvl w:ilvl="0">
      <w:start w:val="1"/>
      <w:numFmt w:val="decimal"/>
      <w:lvlText w:val="[%1]"/>
      <w:lvlJc w:val="left"/>
      <w:pPr>
        <w:tabs>
          <w:tab w:val="num" w:pos="1117"/>
        </w:tabs>
        <w:ind w:left="1117" w:hanging="323"/>
      </w:pPr>
      <w:rPr>
        <w:rFonts w:ascii="Arial" w:hAnsi="Arial" w:hint="default"/>
        <w:b w:val="0"/>
        <w:i w:val="0"/>
        <w:sz w:val="22"/>
      </w:rPr>
    </w:lvl>
    <w:lvl w:ilvl="1">
      <w:start w:val="1"/>
      <w:numFmt w:val="lowerLetter"/>
      <w:lvlText w:val="%2."/>
      <w:lvlJc w:val="left"/>
      <w:pPr>
        <w:tabs>
          <w:tab w:val="num" w:pos="1837"/>
        </w:tabs>
        <w:ind w:left="1837" w:hanging="360"/>
      </w:pPr>
    </w:lvl>
    <w:lvl w:ilvl="2">
      <w:start w:val="1"/>
      <w:numFmt w:val="lowerRoman"/>
      <w:lvlText w:val="%3."/>
      <w:lvlJc w:val="right"/>
      <w:pPr>
        <w:tabs>
          <w:tab w:val="num" w:pos="2557"/>
        </w:tabs>
        <w:ind w:left="2557" w:hanging="180"/>
      </w:pPr>
    </w:lvl>
    <w:lvl w:ilvl="3">
      <w:start w:val="1"/>
      <w:numFmt w:val="decimal"/>
      <w:lvlText w:val="%4."/>
      <w:lvlJc w:val="left"/>
      <w:pPr>
        <w:tabs>
          <w:tab w:val="num" w:pos="3277"/>
        </w:tabs>
        <w:ind w:left="3277" w:hanging="360"/>
      </w:pPr>
    </w:lvl>
    <w:lvl w:ilvl="4">
      <w:start w:val="1"/>
      <w:numFmt w:val="lowerLetter"/>
      <w:lvlText w:val="%5."/>
      <w:lvlJc w:val="left"/>
      <w:pPr>
        <w:tabs>
          <w:tab w:val="num" w:pos="3997"/>
        </w:tabs>
        <w:ind w:left="3997" w:hanging="360"/>
      </w:pPr>
    </w:lvl>
    <w:lvl w:ilvl="5">
      <w:start w:val="1"/>
      <w:numFmt w:val="lowerRoman"/>
      <w:lvlText w:val="%6."/>
      <w:lvlJc w:val="right"/>
      <w:pPr>
        <w:tabs>
          <w:tab w:val="num" w:pos="4717"/>
        </w:tabs>
        <w:ind w:left="4717" w:hanging="180"/>
      </w:pPr>
    </w:lvl>
    <w:lvl w:ilvl="6">
      <w:start w:val="1"/>
      <w:numFmt w:val="decimal"/>
      <w:lvlText w:val="%7."/>
      <w:lvlJc w:val="left"/>
      <w:pPr>
        <w:tabs>
          <w:tab w:val="num" w:pos="5437"/>
        </w:tabs>
        <w:ind w:left="5437" w:hanging="360"/>
      </w:pPr>
    </w:lvl>
    <w:lvl w:ilvl="7">
      <w:start w:val="1"/>
      <w:numFmt w:val="lowerLetter"/>
      <w:lvlText w:val="%8."/>
      <w:lvlJc w:val="left"/>
      <w:pPr>
        <w:tabs>
          <w:tab w:val="num" w:pos="6157"/>
        </w:tabs>
        <w:ind w:left="6157" w:hanging="360"/>
      </w:pPr>
    </w:lvl>
    <w:lvl w:ilvl="8">
      <w:start w:val="1"/>
      <w:numFmt w:val="lowerRoman"/>
      <w:lvlText w:val="%9."/>
      <w:lvlJc w:val="right"/>
      <w:pPr>
        <w:tabs>
          <w:tab w:val="num" w:pos="6877"/>
        </w:tabs>
        <w:ind w:left="6877" w:hanging="180"/>
      </w:pPr>
    </w:lvl>
  </w:abstractNum>
  <w:abstractNum w:abstractNumId="2" w15:restartNumberingAfterBreak="0">
    <w:nsid w:val="04B5450C"/>
    <w:multiLevelType w:val="hybridMultilevel"/>
    <w:tmpl w:val="5D724C48"/>
    <w:lvl w:ilvl="0" w:tplc="66FA234A">
      <w:start w:val="1"/>
      <w:numFmt w:val="bullet"/>
      <w:lvlText w:val=""/>
      <w:lvlJc w:val="left"/>
      <w:pPr>
        <w:ind w:left="1429" w:hanging="360"/>
      </w:pPr>
      <w:rPr>
        <w:rFonts w:ascii="Symbol" w:hAnsi="Symbol" w:hint="default"/>
        <w:color w:val="000000"/>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0BD465C8"/>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C35088D"/>
    <w:multiLevelType w:val="hybridMultilevel"/>
    <w:tmpl w:val="84FAF54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13F85825"/>
    <w:multiLevelType w:val="multilevel"/>
    <w:tmpl w:val="75605F40"/>
    <w:lvl w:ilvl="0">
      <w:start w:val="1"/>
      <w:numFmt w:val="decimal"/>
      <w:pStyle w:val="Referenci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D0A3B58"/>
    <w:multiLevelType w:val="multilevel"/>
    <w:tmpl w:val="B48873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96639AD"/>
    <w:multiLevelType w:val="multilevel"/>
    <w:tmpl w:val="DF5C60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C304826"/>
    <w:multiLevelType w:val="hybridMultilevel"/>
    <w:tmpl w:val="612AFEFC"/>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9" w15:restartNumberingAfterBreak="0">
    <w:nsid w:val="4BD85DD7"/>
    <w:multiLevelType w:val="multilevel"/>
    <w:tmpl w:val="B7EC6AA0"/>
    <w:lvl w:ilvl="0">
      <w:start w:val="1"/>
      <w:numFmt w:val="decimal"/>
      <w:lvlText w:val="%1."/>
      <w:lvlJc w:val="right"/>
      <w:pPr>
        <w:tabs>
          <w:tab w:val="num" w:pos="1117"/>
        </w:tabs>
        <w:ind w:left="1117" w:hanging="493"/>
      </w:pPr>
      <w:rPr>
        <w:rFonts w:hint="default"/>
      </w:rPr>
    </w:lvl>
    <w:lvl w:ilvl="1">
      <w:start w:val="1"/>
      <w:numFmt w:val="lowerLetter"/>
      <w:lvlText w:val="%2."/>
      <w:lvlJc w:val="left"/>
      <w:pPr>
        <w:tabs>
          <w:tab w:val="num" w:pos="1837"/>
        </w:tabs>
        <w:ind w:left="1837" w:hanging="360"/>
      </w:pPr>
    </w:lvl>
    <w:lvl w:ilvl="2">
      <w:start w:val="1"/>
      <w:numFmt w:val="lowerRoman"/>
      <w:lvlText w:val="%3."/>
      <w:lvlJc w:val="right"/>
      <w:pPr>
        <w:tabs>
          <w:tab w:val="num" w:pos="2557"/>
        </w:tabs>
        <w:ind w:left="2557" w:hanging="180"/>
      </w:pPr>
    </w:lvl>
    <w:lvl w:ilvl="3">
      <w:start w:val="1"/>
      <w:numFmt w:val="decimal"/>
      <w:lvlText w:val="%4."/>
      <w:lvlJc w:val="left"/>
      <w:pPr>
        <w:tabs>
          <w:tab w:val="num" w:pos="3277"/>
        </w:tabs>
        <w:ind w:left="3277" w:hanging="360"/>
      </w:pPr>
    </w:lvl>
    <w:lvl w:ilvl="4">
      <w:start w:val="1"/>
      <w:numFmt w:val="lowerLetter"/>
      <w:lvlText w:val="%5."/>
      <w:lvlJc w:val="left"/>
      <w:pPr>
        <w:tabs>
          <w:tab w:val="num" w:pos="3997"/>
        </w:tabs>
        <w:ind w:left="3997" w:hanging="360"/>
      </w:pPr>
    </w:lvl>
    <w:lvl w:ilvl="5">
      <w:start w:val="1"/>
      <w:numFmt w:val="lowerRoman"/>
      <w:lvlText w:val="%6."/>
      <w:lvlJc w:val="right"/>
      <w:pPr>
        <w:tabs>
          <w:tab w:val="num" w:pos="4717"/>
        </w:tabs>
        <w:ind w:left="4717" w:hanging="180"/>
      </w:pPr>
    </w:lvl>
    <w:lvl w:ilvl="6">
      <w:start w:val="1"/>
      <w:numFmt w:val="decimal"/>
      <w:lvlText w:val="%7."/>
      <w:lvlJc w:val="left"/>
      <w:pPr>
        <w:tabs>
          <w:tab w:val="num" w:pos="5437"/>
        </w:tabs>
        <w:ind w:left="5437" w:hanging="360"/>
      </w:pPr>
    </w:lvl>
    <w:lvl w:ilvl="7">
      <w:start w:val="1"/>
      <w:numFmt w:val="lowerLetter"/>
      <w:lvlText w:val="%8."/>
      <w:lvlJc w:val="left"/>
      <w:pPr>
        <w:tabs>
          <w:tab w:val="num" w:pos="6157"/>
        </w:tabs>
        <w:ind w:left="6157" w:hanging="360"/>
      </w:pPr>
    </w:lvl>
    <w:lvl w:ilvl="8">
      <w:start w:val="1"/>
      <w:numFmt w:val="lowerRoman"/>
      <w:lvlText w:val="%9."/>
      <w:lvlJc w:val="right"/>
      <w:pPr>
        <w:tabs>
          <w:tab w:val="num" w:pos="6877"/>
        </w:tabs>
        <w:ind w:left="6877" w:hanging="180"/>
      </w:pPr>
    </w:lvl>
  </w:abstractNum>
  <w:abstractNum w:abstractNumId="10" w15:restartNumberingAfterBreak="0">
    <w:nsid w:val="57970190"/>
    <w:multiLevelType w:val="multilevel"/>
    <w:tmpl w:val="276820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671A1EDF"/>
    <w:multiLevelType w:val="hybridMultilevel"/>
    <w:tmpl w:val="ED72D51C"/>
    <w:lvl w:ilvl="0" w:tplc="0C0A0001">
      <w:start w:val="1"/>
      <w:numFmt w:val="bullet"/>
      <w:lvlText w:val=""/>
      <w:lvlJc w:val="left"/>
      <w:pPr>
        <w:ind w:left="816" w:hanging="360"/>
      </w:pPr>
      <w:rPr>
        <w:rFonts w:ascii="Symbol" w:hAnsi="Symbol" w:hint="default"/>
      </w:rPr>
    </w:lvl>
    <w:lvl w:ilvl="1" w:tplc="0C0A0003" w:tentative="1">
      <w:start w:val="1"/>
      <w:numFmt w:val="bullet"/>
      <w:lvlText w:val="o"/>
      <w:lvlJc w:val="left"/>
      <w:pPr>
        <w:ind w:left="1536" w:hanging="360"/>
      </w:pPr>
      <w:rPr>
        <w:rFonts w:ascii="Courier New" w:hAnsi="Courier New" w:cs="Courier New" w:hint="default"/>
      </w:rPr>
    </w:lvl>
    <w:lvl w:ilvl="2" w:tplc="0C0A0005" w:tentative="1">
      <w:start w:val="1"/>
      <w:numFmt w:val="bullet"/>
      <w:lvlText w:val=""/>
      <w:lvlJc w:val="left"/>
      <w:pPr>
        <w:ind w:left="2256" w:hanging="360"/>
      </w:pPr>
      <w:rPr>
        <w:rFonts w:ascii="Wingdings" w:hAnsi="Wingdings" w:hint="default"/>
      </w:rPr>
    </w:lvl>
    <w:lvl w:ilvl="3" w:tplc="0C0A0001" w:tentative="1">
      <w:start w:val="1"/>
      <w:numFmt w:val="bullet"/>
      <w:lvlText w:val=""/>
      <w:lvlJc w:val="left"/>
      <w:pPr>
        <w:ind w:left="2976" w:hanging="360"/>
      </w:pPr>
      <w:rPr>
        <w:rFonts w:ascii="Symbol" w:hAnsi="Symbol" w:hint="default"/>
      </w:rPr>
    </w:lvl>
    <w:lvl w:ilvl="4" w:tplc="0C0A0003" w:tentative="1">
      <w:start w:val="1"/>
      <w:numFmt w:val="bullet"/>
      <w:lvlText w:val="o"/>
      <w:lvlJc w:val="left"/>
      <w:pPr>
        <w:ind w:left="3696" w:hanging="360"/>
      </w:pPr>
      <w:rPr>
        <w:rFonts w:ascii="Courier New" w:hAnsi="Courier New" w:cs="Courier New" w:hint="default"/>
      </w:rPr>
    </w:lvl>
    <w:lvl w:ilvl="5" w:tplc="0C0A0005" w:tentative="1">
      <w:start w:val="1"/>
      <w:numFmt w:val="bullet"/>
      <w:lvlText w:val=""/>
      <w:lvlJc w:val="left"/>
      <w:pPr>
        <w:ind w:left="4416" w:hanging="360"/>
      </w:pPr>
      <w:rPr>
        <w:rFonts w:ascii="Wingdings" w:hAnsi="Wingdings" w:hint="default"/>
      </w:rPr>
    </w:lvl>
    <w:lvl w:ilvl="6" w:tplc="0C0A0001" w:tentative="1">
      <w:start w:val="1"/>
      <w:numFmt w:val="bullet"/>
      <w:lvlText w:val=""/>
      <w:lvlJc w:val="left"/>
      <w:pPr>
        <w:ind w:left="5136" w:hanging="360"/>
      </w:pPr>
      <w:rPr>
        <w:rFonts w:ascii="Symbol" w:hAnsi="Symbol" w:hint="default"/>
      </w:rPr>
    </w:lvl>
    <w:lvl w:ilvl="7" w:tplc="0C0A0003" w:tentative="1">
      <w:start w:val="1"/>
      <w:numFmt w:val="bullet"/>
      <w:lvlText w:val="o"/>
      <w:lvlJc w:val="left"/>
      <w:pPr>
        <w:ind w:left="5856" w:hanging="360"/>
      </w:pPr>
      <w:rPr>
        <w:rFonts w:ascii="Courier New" w:hAnsi="Courier New" w:cs="Courier New" w:hint="default"/>
      </w:rPr>
    </w:lvl>
    <w:lvl w:ilvl="8" w:tplc="0C0A0005" w:tentative="1">
      <w:start w:val="1"/>
      <w:numFmt w:val="bullet"/>
      <w:lvlText w:val=""/>
      <w:lvlJc w:val="left"/>
      <w:pPr>
        <w:ind w:left="6576" w:hanging="360"/>
      </w:pPr>
      <w:rPr>
        <w:rFonts w:ascii="Wingdings" w:hAnsi="Wingdings" w:hint="default"/>
      </w:rPr>
    </w:lvl>
  </w:abstractNum>
  <w:abstractNum w:abstractNumId="12" w15:restartNumberingAfterBreak="0">
    <w:nsid w:val="7136657B"/>
    <w:multiLevelType w:val="multilevel"/>
    <w:tmpl w:val="DAA8FA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44924181">
    <w:abstractNumId w:val="5"/>
  </w:num>
  <w:num w:numId="2" w16cid:durableId="8390814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962095">
    <w:abstractNumId w:val="1"/>
  </w:num>
  <w:num w:numId="4" w16cid:durableId="175194529">
    <w:abstractNumId w:val="4"/>
  </w:num>
  <w:num w:numId="5" w16cid:durableId="971865518">
    <w:abstractNumId w:val="9"/>
  </w:num>
  <w:num w:numId="6" w16cid:durableId="174459538">
    <w:abstractNumId w:val="3"/>
  </w:num>
  <w:num w:numId="7" w16cid:durableId="1463427698">
    <w:abstractNumId w:val="0"/>
  </w:num>
  <w:num w:numId="8" w16cid:durableId="1084647134">
    <w:abstractNumId w:val="8"/>
  </w:num>
  <w:num w:numId="9" w16cid:durableId="1924025865">
    <w:abstractNumId w:val="2"/>
  </w:num>
  <w:num w:numId="10" w16cid:durableId="401293980">
    <w:abstractNumId w:val="6"/>
  </w:num>
  <w:num w:numId="11" w16cid:durableId="791367940">
    <w:abstractNumId w:val="7"/>
  </w:num>
  <w:num w:numId="12" w16cid:durableId="738484732">
    <w:abstractNumId w:val="10"/>
  </w:num>
  <w:num w:numId="13" w16cid:durableId="1690790887">
    <w:abstractNumId w:val="11"/>
  </w:num>
  <w:num w:numId="14" w16cid:durableId="20944757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evenAndOddHeaders/>
  <w:characterSpacingControl w:val="doNotCompress"/>
  <w:hdrShapeDefaults>
    <o:shapedefaults v:ext="edit" spidmax="2050"/>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ADF"/>
    <w:rsid w:val="00007D9B"/>
    <w:rsid w:val="00074853"/>
    <w:rsid w:val="000962BD"/>
    <w:rsid w:val="000B5AAA"/>
    <w:rsid w:val="000B7D35"/>
    <w:rsid w:val="001130E1"/>
    <w:rsid w:val="00176493"/>
    <w:rsid w:val="001B45D2"/>
    <w:rsid w:val="001F5EB8"/>
    <w:rsid w:val="002E228B"/>
    <w:rsid w:val="003357E2"/>
    <w:rsid w:val="003373B0"/>
    <w:rsid w:val="0036165B"/>
    <w:rsid w:val="00361B7E"/>
    <w:rsid w:val="00373989"/>
    <w:rsid w:val="00437CDC"/>
    <w:rsid w:val="00437D69"/>
    <w:rsid w:val="004B6A27"/>
    <w:rsid w:val="004F2C3C"/>
    <w:rsid w:val="005073D6"/>
    <w:rsid w:val="00565591"/>
    <w:rsid w:val="005777DC"/>
    <w:rsid w:val="00614EA6"/>
    <w:rsid w:val="00650943"/>
    <w:rsid w:val="00655816"/>
    <w:rsid w:val="0065646C"/>
    <w:rsid w:val="00657842"/>
    <w:rsid w:val="006673A3"/>
    <w:rsid w:val="00670E81"/>
    <w:rsid w:val="006A5F30"/>
    <w:rsid w:val="006F1472"/>
    <w:rsid w:val="00717601"/>
    <w:rsid w:val="00755605"/>
    <w:rsid w:val="007736DE"/>
    <w:rsid w:val="00804370"/>
    <w:rsid w:val="00885397"/>
    <w:rsid w:val="0088741B"/>
    <w:rsid w:val="0091628F"/>
    <w:rsid w:val="00943F1F"/>
    <w:rsid w:val="0096093B"/>
    <w:rsid w:val="009C6C51"/>
    <w:rsid w:val="009C7D4A"/>
    <w:rsid w:val="009F191D"/>
    <w:rsid w:val="00A407E5"/>
    <w:rsid w:val="00A41AFD"/>
    <w:rsid w:val="00A5762E"/>
    <w:rsid w:val="00A77C09"/>
    <w:rsid w:val="00AE5D59"/>
    <w:rsid w:val="00AF180E"/>
    <w:rsid w:val="00AF1B97"/>
    <w:rsid w:val="00B37947"/>
    <w:rsid w:val="00BD6798"/>
    <w:rsid w:val="00C53146"/>
    <w:rsid w:val="00CD196D"/>
    <w:rsid w:val="00CF7CBF"/>
    <w:rsid w:val="00D028D4"/>
    <w:rsid w:val="00D10A18"/>
    <w:rsid w:val="00D14F19"/>
    <w:rsid w:val="00D31D16"/>
    <w:rsid w:val="00DD7ADF"/>
    <w:rsid w:val="00E549B7"/>
    <w:rsid w:val="00E56C4F"/>
    <w:rsid w:val="00E81303"/>
    <w:rsid w:val="00E94308"/>
    <w:rsid w:val="00EF458A"/>
    <w:rsid w:val="00F12701"/>
    <w:rsid w:val="00F82E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2146C"/>
  <w15:docId w15:val="{1BE4D3F1-0DD0-2440-AD03-C5FBA61EC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_tradnl" w:bidi="ar-SA"/>
      </w:rPr>
    </w:rPrDefault>
    <w:pPrDefault>
      <w:pPr>
        <w:ind w:firstLine="39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4D9"/>
    <w:rPr>
      <w:szCs w:val="24"/>
    </w:rPr>
  </w:style>
  <w:style w:type="paragraph" w:styleId="Ttulo1">
    <w:name w:val="heading 1"/>
    <w:basedOn w:val="Normal"/>
    <w:next w:val="Normal"/>
    <w:qFormat/>
    <w:rsid w:val="00FC734D"/>
    <w:pPr>
      <w:keepNext/>
      <w:ind w:firstLine="0"/>
      <w:jc w:val="center"/>
      <w:outlineLvl w:val="0"/>
    </w:pPr>
    <w:rPr>
      <w:b/>
      <w:bCs/>
      <w:caps/>
      <w:kern w:val="32"/>
      <w:szCs w:val="32"/>
    </w:rPr>
  </w:style>
  <w:style w:type="paragraph" w:styleId="Ttulo2">
    <w:name w:val="heading 2"/>
    <w:basedOn w:val="Normal"/>
    <w:next w:val="Normal"/>
    <w:unhideWhenUsed/>
    <w:qFormat/>
    <w:rsid w:val="00C95FFE"/>
    <w:pPr>
      <w:keepNext/>
      <w:ind w:firstLine="0"/>
      <w:jc w:val="center"/>
      <w:outlineLvl w:val="1"/>
    </w:pPr>
    <w:rPr>
      <w:b/>
      <w:bCs/>
      <w:iCs/>
      <w:szCs w:val="28"/>
    </w:rPr>
  </w:style>
  <w:style w:type="paragraph" w:styleId="Ttulo3">
    <w:name w:val="heading 3"/>
    <w:basedOn w:val="Normal"/>
    <w:next w:val="Normal"/>
    <w:unhideWhenUsed/>
    <w:qFormat/>
    <w:rsid w:val="007259DA"/>
    <w:pPr>
      <w:keepNext/>
      <w:ind w:firstLine="0"/>
      <w:jc w:val="center"/>
      <w:outlineLvl w:val="2"/>
    </w:pPr>
    <w:rPr>
      <w:bCs/>
      <w:szCs w:val="26"/>
    </w:rPr>
  </w:style>
  <w:style w:type="paragraph" w:styleId="Ttulo4">
    <w:name w:val="heading 4"/>
    <w:basedOn w:val="Normal"/>
    <w:next w:val="Normal"/>
    <w:uiPriority w:val="9"/>
    <w:semiHidden/>
    <w:unhideWhenUsed/>
    <w:qFormat/>
    <w:pPr>
      <w:keepNext/>
      <w:keepLines/>
      <w:spacing w:before="240" w:after="40"/>
      <w:outlineLvl w:val="3"/>
    </w:pPr>
    <w:rPr>
      <w:b/>
      <w:sz w:val="24"/>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character" w:styleId="Hipervnculo">
    <w:name w:val="Hyperlink"/>
    <w:rsid w:val="007259DA"/>
    <w:rPr>
      <w:color w:val="0000FF"/>
      <w:u w:val="single"/>
    </w:rPr>
  </w:style>
  <w:style w:type="paragraph" w:customStyle="1" w:styleId="Referencias">
    <w:name w:val="Referencias"/>
    <w:basedOn w:val="Normal"/>
    <w:rsid w:val="00331B84"/>
    <w:pPr>
      <w:numPr>
        <w:numId w:val="1"/>
      </w:numPr>
      <w:spacing w:after="120"/>
    </w:pPr>
  </w:style>
  <w:style w:type="paragraph" w:customStyle="1" w:styleId="Resumen">
    <w:name w:val="Resumen"/>
    <w:basedOn w:val="Normal"/>
    <w:next w:val="Normal"/>
    <w:rsid w:val="00FB1C2D"/>
    <w:pPr>
      <w:ind w:left="851" w:right="851" w:firstLine="0"/>
    </w:pPr>
    <w:rPr>
      <w:i/>
    </w:rPr>
  </w:style>
  <w:style w:type="paragraph" w:customStyle="1" w:styleId="Numeracion">
    <w:name w:val="Numeracion"/>
    <w:basedOn w:val="Normal"/>
    <w:next w:val="Normal"/>
    <w:rsid w:val="00FB1C2D"/>
    <w:pPr>
      <w:tabs>
        <w:tab w:val="num" w:pos="720"/>
      </w:tabs>
      <w:ind w:left="720" w:hanging="720"/>
    </w:pPr>
    <w:rPr>
      <w:b/>
    </w:rPr>
  </w:style>
  <w:style w:type="paragraph" w:styleId="Encabezado">
    <w:name w:val="header"/>
    <w:basedOn w:val="Normal"/>
    <w:link w:val="EncabezadoCar"/>
    <w:uiPriority w:val="99"/>
    <w:rsid w:val="00C400A0"/>
    <w:pPr>
      <w:tabs>
        <w:tab w:val="center" w:pos="4252"/>
        <w:tab w:val="right" w:pos="8504"/>
      </w:tabs>
    </w:pPr>
    <w:rPr>
      <w:lang w:eastAsia="x-none"/>
    </w:rPr>
  </w:style>
  <w:style w:type="character" w:customStyle="1" w:styleId="EncabezadoCar">
    <w:name w:val="Encabezado Car"/>
    <w:link w:val="Encabezado"/>
    <w:uiPriority w:val="99"/>
    <w:rsid w:val="00C400A0"/>
    <w:rPr>
      <w:rFonts w:ascii="Arial" w:hAnsi="Arial"/>
      <w:sz w:val="22"/>
      <w:szCs w:val="24"/>
    </w:rPr>
  </w:style>
  <w:style w:type="paragraph" w:styleId="Piedepgina">
    <w:name w:val="footer"/>
    <w:basedOn w:val="Normal"/>
    <w:link w:val="PiedepginaCar"/>
    <w:rsid w:val="00C400A0"/>
    <w:pPr>
      <w:tabs>
        <w:tab w:val="center" w:pos="4252"/>
        <w:tab w:val="right" w:pos="8504"/>
      </w:tabs>
    </w:pPr>
    <w:rPr>
      <w:lang w:eastAsia="x-none"/>
    </w:rPr>
  </w:style>
  <w:style w:type="character" w:customStyle="1" w:styleId="PiedepginaCar">
    <w:name w:val="Pie de página Car"/>
    <w:link w:val="Piedepgina"/>
    <w:rsid w:val="00C400A0"/>
    <w:rPr>
      <w:rFonts w:ascii="Arial" w:hAnsi="Arial"/>
      <w:sz w:val="22"/>
      <w:szCs w:val="24"/>
    </w:rPr>
  </w:style>
  <w:style w:type="paragraph" w:styleId="Textonotapie">
    <w:name w:val="footnote text"/>
    <w:basedOn w:val="Normal"/>
    <w:link w:val="TextonotapieCar"/>
    <w:rsid w:val="007667D1"/>
    <w:rPr>
      <w:sz w:val="20"/>
      <w:szCs w:val="20"/>
      <w:lang w:eastAsia="x-none"/>
    </w:rPr>
  </w:style>
  <w:style w:type="character" w:customStyle="1" w:styleId="TextonotapieCar">
    <w:name w:val="Texto nota pie Car"/>
    <w:link w:val="Textonotapie"/>
    <w:rsid w:val="007667D1"/>
    <w:rPr>
      <w:rFonts w:ascii="Arial" w:hAnsi="Arial"/>
    </w:rPr>
  </w:style>
  <w:style w:type="character" w:styleId="Refdenotaalpie">
    <w:name w:val="footnote reference"/>
    <w:rsid w:val="007667D1"/>
    <w:rPr>
      <w:vertAlign w:val="superscript"/>
    </w:rPr>
  </w:style>
  <w:style w:type="table" w:styleId="Tablaconcuadrcula">
    <w:name w:val="Table Grid"/>
    <w:basedOn w:val="Tablanormal"/>
    <w:uiPriority w:val="39"/>
    <w:rsid w:val="007746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uentedeprrafopredeter"/>
    <w:rsid w:val="00C71380"/>
  </w:style>
  <w:style w:type="paragraph" w:customStyle="1" w:styleId="Default">
    <w:name w:val="Default"/>
    <w:rsid w:val="00CA3DAA"/>
    <w:pPr>
      <w:autoSpaceDE w:val="0"/>
      <w:autoSpaceDN w:val="0"/>
      <w:adjustRightInd w:val="0"/>
    </w:pPr>
    <w:rPr>
      <w:color w:val="000000"/>
      <w:sz w:val="24"/>
      <w:szCs w:val="24"/>
    </w:rPr>
  </w:style>
  <w:style w:type="character" w:styleId="Hipervnculovisitado">
    <w:name w:val="FollowedHyperlink"/>
    <w:rsid w:val="00CA3DAA"/>
    <w:rPr>
      <w:color w:val="800080"/>
      <w:u w:val="single"/>
    </w:rPr>
  </w:style>
  <w:style w:type="paragraph" w:styleId="Textodeglobo">
    <w:name w:val="Balloon Text"/>
    <w:basedOn w:val="Normal"/>
    <w:link w:val="TextodegloboCar"/>
    <w:rsid w:val="00AD750F"/>
    <w:rPr>
      <w:rFonts w:ascii="Lucida Grande" w:hAnsi="Lucida Grande" w:cs="Lucida Grande"/>
      <w:sz w:val="18"/>
      <w:szCs w:val="18"/>
    </w:rPr>
  </w:style>
  <w:style w:type="character" w:customStyle="1" w:styleId="TextodegloboCar">
    <w:name w:val="Texto de globo Car"/>
    <w:basedOn w:val="Fuentedeprrafopredeter"/>
    <w:link w:val="Textodeglobo"/>
    <w:rsid w:val="00AD750F"/>
    <w:rPr>
      <w:rFonts w:ascii="Lucida Grande" w:hAnsi="Lucida Grande" w:cs="Lucida Grande"/>
      <w:sz w:val="18"/>
      <w:szCs w:val="18"/>
      <w:lang w:val="es-ES"/>
    </w:rPr>
  </w:style>
  <w:style w:type="paragraph" w:styleId="Prrafodelista">
    <w:name w:val="List Paragraph"/>
    <w:aliases w:val="Indent Paragraph,Lettre d'introduction,Paragraphe de liste PBLH,Bullet Points,Liste Paragraf,Llista Nivell1,Lista de nivel 1,Graph &amp; Table tite,Paragraph,List numbered,Bullets,Medium Grid 1 - Accent 21,List Paragraph1,Normal1,Normal2"/>
    <w:basedOn w:val="Normal"/>
    <w:link w:val="PrrafodelistaCar"/>
    <w:uiPriority w:val="34"/>
    <w:qFormat/>
    <w:rsid w:val="00AD750F"/>
    <w:pPr>
      <w:ind w:left="720"/>
      <w:contextualSpacing/>
    </w:pPr>
  </w:style>
  <w:style w:type="character" w:styleId="Refdecomentario">
    <w:name w:val="annotation reference"/>
    <w:basedOn w:val="Fuentedeprrafopredeter"/>
    <w:rsid w:val="002E0937"/>
    <w:rPr>
      <w:sz w:val="16"/>
      <w:szCs w:val="16"/>
    </w:rPr>
  </w:style>
  <w:style w:type="paragraph" w:styleId="Textocomentario">
    <w:name w:val="annotation text"/>
    <w:basedOn w:val="Normal"/>
    <w:link w:val="TextocomentarioCar"/>
    <w:rsid w:val="002E0937"/>
    <w:rPr>
      <w:sz w:val="20"/>
      <w:szCs w:val="20"/>
    </w:rPr>
  </w:style>
  <w:style w:type="character" w:customStyle="1" w:styleId="TextocomentarioCar">
    <w:name w:val="Texto comentario Car"/>
    <w:basedOn w:val="Fuentedeprrafopredeter"/>
    <w:link w:val="Textocomentario"/>
    <w:rsid w:val="002E0937"/>
    <w:rPr>
      <w:rFonts w:ascii="Arial" w:hAnsi="Arial"/>
      <w:lang w:val="es-ES"/>
    </w:rPr>
  </w:style>
  <w:style w:type="paragraph" w:styleId="Asuntodelcomentario">
    <w:name w:val="annotation subject"/>
    <w:basedOn w:val="Textocomentario"/>
    <w:next w:val="Textocomentario"/>
    <w:link w:val="AsuntodelcomentarioCar"/>
    <w:rsid w:val="002E0937"/>
    <w:rPr>
      <w:b/>
      <w:bCs/>
    </w:rPr>
  </w:style>
  <w:style w:type="character" w:customStyle="1" w:styleId="AsuntodelcomentarioCar">
    <w:name w:val="Asunto del comentario Car"/>
    <w:basedOn w:val="TextocomentarioCar"/>
    <w:link w:val="Asuntodelcomentario"/>
    <w:rsid w:val="002E0937"/>
    <w:rPr>
      <w:rFonts w:ascii="Arial" w:hAnsi="Arial"/>
      <w:b/>
      <w:bCs/>
      <w:lang w:val="es-ES"/>
    </w:rPr>
  </w:style>
  <w:style w:type="paragraph" w:styleId="NormalWeb">
    <w:name w:val="Normal (Web)"/>
    <w:basedOn w:val="Normal"/>
    <w:uiPriority w:val="99"/>
    <w:unhideWhenUsed/>
    <w:rsid w:val="001D2722"/>
    <w:pPr>
      <w:spacing w:before="100" w:beforeAutospacing="1" w:after="100" w:afterAutospacing="1"/>
      <w:ind w:firstLine="0"/>
      <w:jc w:val="left"/>
    </w:pPr>
    <w:rPr>
      <w:rFonts w:ascii="Times New Roman" w:hAnsi="Times New Roman"/>
      <w:sz w:val="24"/>
    </w:rPr>
  </w:style>
  <w:style w:type="character" w:styleId="Textoennegrita">
    <w:name w:val="Strong"/>
    <w:basedOn w:val="Fuentedeprrafopredeter"/>
    <w:uiPriority w:val="22"/>
    <w:qFormat/>
    <w:rsid w:val="001D2722"/>
    <w:rPr>
      <w:b/>
      <w:bCs/>
    </w:rPr>
  </w:style>
  <w:style w:type="character" w:customStyle="1" w:styleId="apple-converted-space">
    <w:name w:val="apple-converted-space"/>
    <w:basedOn w:val="Fuentedeprrafopredeter"/>
    <w:rsid w:val="001D2722"/>
  </w:style>
  <w:style w:type="character" w:styleId="nfasis">
    <w:name w:val="Emphasis"/>
    <w:basedOn w:val="Fuentedeprrafopredeter"/>
    <w:uiPriority w:val="20"/>
    <w:qFormat/>
    <w:rsid w:val="001D2722"/>
    <w:rPr>
      <w:i/>
      <w:iCs/>
    </w:rPr>
  </w:style>
  <w:style w:type="character" w:customStyle="1" w:styleId="s1">
    <w:name w:val="s1"/>
    <w:basedOn w:val="Fuentedeprrafopredeter"/>
    <w:rsid w:val="00B918BA"/>
  </w:style>
  <w:style w:type="paragraph" w:customStyle="1" w:styleId="Sumario">
    <w:name w:val="Sumario"/>
    <w:basedOn w:val="Normal"/>
    <w:qFormat/>
    <w:rsid w:val="00BF5C0D"/>
    <w:pPr>
      <w:autoSpaceDE w:val="0"/>
      <w:autoSpaceDN w:val="0"/>
      <w:adjustRightInd w:val="0"/>
      <w:spacing w:after="200" w:line="200" w:lineRule="exact"/>
      <w:ind w:firstLine="0"/>
    </w:pPr>
    <w:rPr>
      <w:rFonts w:ascii="Times New Roman" w:eastAsia="Calibri" w:hAnsi="Times New Roman"/>
      <w:bCs/>
      <w:color w:val="252525"/>
      <w:sz w:val="18"/>
      <w:szCs w:val="18"/>
      <w:lang w:eastAsia="en-US"/>
    </w:rPr>
  </w:style>
  <w:style w:type="character" w:customStyle="1" w:styleId="Mencinsinresolver1">
    <w:name w:val="Mención sin resolver1"/>
    <w:basedOn w:val="Fuentedeprrafopredeter"/>
    <w:rsid w:val="00F25B0D"/>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CD196D"/>
    <w:pPr>
      <w:widowControl w:val="0"/>
      <w:autoSpaceDE w:val="0"/>
      <w:autoSpaceDN w:val="0"/>
      <w:ind w:firstLine="0"/>
      <w:jc w:val="left"/>
    </w:pPr>
    <w:rPr>
      <w:rFonts w:ascii="Times New Roman" w:eastAsia="Times New Roman" w:hAnsi="Times New Roman" w:cs="Times New Roman"/>
      <w:sz w:val="24"/>
      <w:lang w:eastAsia="en-US"/>
    </w:rPr>
  </w:style>
  <w:style w:type="character" w:customStyle="1" w:styleId="TextoindependienteCar">
    <w:name w:val="Texto independiente Car"/>
    <w:basedOn w:val="Fuentedeprrafopredeter"/>
    <w:link w:val="Textoindependiente"/>
    <w:uiPriority w:val="1"/>
    <w:rsid w:val="00CD196D"/>
    <w:rPr>
      <w:rFonts w:ascii="Times New Roman" w:eastAsia="Times New Roman" w:hAnsi="Times New Roman" w:cs="Times New Roman"/>
      <w:sz w:val="24"/>
      <w:szCs w:val="24"/>
      <w:lang w:val="es-ES" w:eastAsia="en-US"/>
    </w:rPr>
  </w:style>
  <w:style w:type="paragraph" w:customStyle="1" w:styleId="TableParagraph">
    <w:name w:val="Table Paragraph"/>
    <w:basedOn w:val="Normal"/>
    <w:uiPriority w:val="1"/>
    <w:qFormat/>
    <w:rsid w:val="00CD196D"/>
    <w:pPr>
      <w:widowControl w:val="0"/>
      <w:autoSpaceDE w:val="0"/>
      <w:autoSpaceDN w:val="0"/>
      <w:ind w:firstLine="0"/>
      <w:jc w:val="center"/>
    </w:pPr>
    <w:rPr>
      <w:rFonts w:ascii="Times New Roman" w:eastAsia="Times New Roman" w:hAnsi="Times New Roman" w:cs="Times New Roman"/>
      <w:szCs w:val="22"/>
      <w:lang w:eastAsia="en-US"/>
    </w:rPr>
  </w:style>
  <w:style w:type="character" w:customStyle="1" w:styleId="PrrafodelistaCar">
    <w:name w:val="Párrafo de lista Car"/>
    <w:aliases w:val="Indent Paragraph Car,Lettre d'introduction Car,Paragraphe de liste PBLH Car,Bullet Points Car,Liste Paragraf Car,Llista Nivell1 Car,Lista de nivel 1 Car,Graph &amp; Table tite Car,Paragraph Car,List numbered Car,Bullets Car,Normal1 Car"/>
    <w:link w:val="Prrafodelista"/>
    <w:uiPriority w:val="34"/>
    <w:rsid w:val="00565591"/>
    <w:rPr>
      <w:szCs w:val="24"/>
    </w:rPr>
  </w:style>
  <w:style w:type="paragraph" w:styleId="Revisin">
    <w:name w:val="Revision"/>
    <w:hidden/>
    <w:uiPriority w:val="66"/>
    <w:semiHidden/>
    <w:rsid w:val="00565591"/>
    <w:pPr>
      <w:ind w:firstLine="0"/>
      <w:jc w:val="left"/>
    </w:pPr>
    <w:rPr>
      <w:rFonts w:eastAsia="Times New Roman"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495504">
      <w:bodyDiv w:val="1"/>
      <w:marLeft w:val="0"/>
      <w:marRight w:val="0"/>
      <w:marTop w:val="0"/>
      <w:marBottom w:val="0"/>
      <w:divBdr>
        <w:top w:val="none" w:sz="0" w:space="0" w:color="auto"/>
        <w:left w:val="none" w:sz="0" w:space="0" w:color="auto"/>
        <w:bottom w:val="none" w:sz="0" w:space="0" w:color="auto"/>
        <w:right w:val="none" w:sz="0" w:space="0" w:color="auto"/>
      </w:divBdr>
    </w:div>
    <w:div w:id="1547639232">
      <w:bodyDiv w:val="1"/>
      <w:marLeft w:val="0"/>
      <w:marRight w:val="0"/>
      <w:marTop w:val="0"/>
      <w:marBottom w:val="0"/>
      <w:divBdr>
        <w:top w:val="none" w:sz="0" w:space="0" w:color="auto"/>
        <w:left w:val="none" w:sz="0" w:space="0" w:color="auto"/>
        <w:bottom w:val="none" w:sz="0" w:space="0" w:color="auto"/>
        <w:right w:val="none" w:sz="0" w:space="0" w:color="auto"/>
      </w:divBdr>
    </w:div>
    <w:div w:id="1832601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1-5393-4251" TargetMode="External"/><Relationship Id="rId18" Type="http://schemas.openxmlformats.org/officeDocument/2006/relationships/hyperlink" Target="%20https://www.isp.msu.edu/files/4814/7249/7008/AgYees_Report_FINAL_web.pdf" TargetMode="External"/><Relationship Id="rId26" Type="http://schemas.openxmlformats.org/officeDocument/2006/relationships/hyperlink" Target="http://om.ciheam.org/article.php?IDPDF=94400045" TargetMode="External"/><Relationship Id="rId39" Type="http://schemas.openxmlformats.org/officeDocument/2006/relationships/header" Target="header2.xml"/><Relationship Id="rId21" Type="http://schemas.openxmlformats.org/officeDocument/2006/relationships/hyperlink" Target="https://ece307.cankaya.edu.tr/uploads/files/introduction%20to%20probability%20(bertsekas,%202nd,%202008).pdf" TargetMode="External"/><Relationship Id="rId34" Type="http://schemas.openxmlformats.org/officeDocument/2006/relationships/hyperlink" Target="https://www.unido.org/sites/default/files/2011-12/Propoor_value_chain_development_2011_0.pdf"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https://orbi.uliege.be/bitstream/2268/169109/1/Minani%20Bonaventure_201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9-0001-6368-9103" TargetMode="External"/><Relationship Id="rId24" Type="http://schemas.openxmlformats.org/officeDocument/2006/relationships/hyperlink" Target="http://www.fao.org/3/a-i3947e.pdf" TargetMode="External"/><Relationship Id="rId32" Type="http://schemas.openxmlformats.org/officeDocument/2006/relationships/hyperlink" Target="https://www.afdb.org/fileadmin/uploads/afdb/Documents/Events/DakAgri2015/Youth_in_Agribusiness_within_an_African_Agricultural_Transformation_Agenda.pdf" TargetMode="External"/><Relationship Id="rId37" Type="http://schemas.openxmlformats.org/officeDocument/2006/relationships/hyperlink" Target="https://doi.org/10.1080/00131857.2013.839376"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kobotoolbox.org" TargetMode="External"/><Relationship Id="rId23" Type="http://schemas.openxmlformats.org/officeDocument/2006/relationships/hyperlink" Target="https://horizon.documentation.ird.fr/exl-doc/pleins_textes/divers17-09/010009947.pdf" TargetMode="External"/><Relationship Id="rId28" Type="http://schemas.openxmlformats.org/officeDocument/2006/relationships/hyperlink" Target="http://www.managingforimpact.org/sites/default/files/resource/fanta_2012_guide_d_echantillonnage_et_addendum.pdf" TargetMode="External"/><Relationship Id="rId36" Type="http://schemas.openxmlformats.org/officeDocument/2006/relationships/hyperlink" Target="https://doi.org/10.1080/00220388.2018.1430767" TargetMode="External"/><Relationship Id="rId10" Type="http://schemas.openxmlformats.org/officeDocument/2006/relationships/hyperlink" Target="mailto:innocent.mwolo@doctorado.unini.edu.mx" TargetMode="External"/><Relationship Id="rId19" Type="http://schemas.openxmlformats.org/officeDocument/2006/relationships/hyperlink" Target="https://doi.org/10.1787/9789264302501-en" TargetMode="External"/><Relationship Id="rId31" Type="http://schemas.openxmlformats.org/officeDocument/2006/relationships/hyperlink" Target="https://www.oecd-ilibrary.org/content/publication/9789264285668-en"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yperlink" Target="https://doi.org/10.1684/agr.2015.0776" TargetMode="External"/><Relationship Id="rId27" Type="http://schemas.openxmlformats.org/officeDocument/2006/relationships/hyperlink" Target="https://doi.org/10.4060/cb0665fr" TargetMode="External"/><Relationship Id="rId30" Type="http://schemas.openxmlformats.org/officeDocument/2006/relationships/hyperlink" Target="https://www.un.org/development/desa/youth/wp-content/uploads/sites/21/2020/07/2020-World-Youth-Report-FULL-FINAL.pdf" TargetMode="External"/><Relationship Id="rId35" Type="http://schemas.openxmlformats.org/officeDocument/2006/relationships/hyperlink" Target="http://dx.doi.org/10.18782/2582-2845.8119" TargetMode="External"/><Relationship Id="rId43"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julio.martinez@unini.edu.mx" TargetMode="External"/><Relationship Id="rId17" Type="http://schemas.openxmlformats.org/officeDocument/2006/relationships/hyperlink" Target="https://au.int/sites/default/files/treaties/7789-treaty-0033_-_african_youth_charter_f.pdf" TargetMode="External"/><Relationship Id="rId25" Type="http://schemas.openxmlformats.org/officeDocument/2006/relationships/hyperlink" Target="http://www.afscet.asso.fr/SystemicApproach.pdf" TargetMode="External"/><Relationship Id="rId33" Type="http://schemas.openxmlformats.org/officeDocument/2006/relationships/hyperlink" Target="http://dx.doi.org/10.18782/2582-2845.8119" TargetMode="External"/><Relationship Id="rId38" Type="http://schemas.openxmlformats.org/officeDocument/2006/relationships/header" Target="header1.xml"/><Relationship Id="rId20" Type="http://schemas.openxmlformats.org/officeDocument/2006/relationships/hyperlink" Target="https://orbi.uliege.be/bitstream/2268/265837/1/Th%C3%A8se%20Bahati%20Shamamba%20Dieudonn%C3%A9.pdf" TargetMode="External"/><Relationship Id="rId41"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JQq7tzaXaJTSvlXD8wipy2wGw==">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8088</Words>
  <Characters>44490</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Rodríguez</dc:creator>
  <cp:lastModifiedBy>Microsoft Office User</cp:lastModifiedBy>
  <cp:revision>2</cp:revision>
  <dcterms:created xsi:type="dcterms:W3CDTF">2024-06-24T09:02:00Z</dcterms:created>
  <dcterms:modified xsi:type="dcterms:W3CDTF">2024-06-24T09:02:00Z</dcterms:modified>
</cp:coreProperties>
</file>